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Verdana" w:hAnsi="Verdana" w:cs="Arial"/>
          <w:b/>
          <w:bCs/>
          <w:smallCaps/>
          <w:color w:val="000000"/>
          <w:sz w:val="20"/>
          <w:szCs w:val="20"/>
        </w:rPr>
      </w:pPr>
      <w:r>
        <w:rPr>
          <w:rFonts w:cs="Arial" w:ascii="Verdana" w:hAnsi="Verdana"/>
          <w:b/>
          <w:bCs/>
          <w:smallCaps/>
          <w:color w:val="000000"/>
          <w:sz w:val="20"/>
          <w:szCs w:val="20"/>
        </w:rPr>
      </w:r>
    </w:p>
    <w:p>
      <w:pPr>
        <w:pStyle w:val="Normal"/>
        <w:jc w:val="center"/>
        <w:rPr>
          <w:sz w:val="24"/>
          <w:szCs w:val="24"/>
        </w:rPr>
      </w:pPr>
      <w:r>
        <w:rPr>
          <w:rFonts w:cs="Arial" w:ascii="Verdana" w:hAnsi="Verdana"/>
          <w:b/>
          <w:bCs/>
          <w:smallCaps/>
          <w:color w:val="000000"/>
          <w:sz w:val="24"/>
          <w:szCs w:val="24"/>
        </w:rPr>
        <w:t xml:space="preserve">EDITAL </w:t>
      </w:r>
    </w:p>
    <w:p>
      <w:pPr>
        <w:pStyle w:val="Normal"/>
        <w:jc w:val="center"/>
        <w:rPr>
          <w:sz w:val="24"/>
          <w:szCs w:val="24"/>
        </w:rPr>
      </w:pPr>
      <w:r>
        <w:rPr>
          <w:rFonts w:cs="Arial" w:ascii="Verdana" w:hAnsi="Verdana"/>
          <w:b/>
          <w:bCs/>
          <w:smallCaps/>
          <w:color w:val="000000"/>
          <w:sz w:val="24"/>
          <w:szCs w:val="24"/>
        </w:rPr>
        <w:t>PREGÃO ELETRÔNICO Nº 044/2025</w:t>
      </w:r>
    </w:p>
    <w:p>
      <w:pPr>
        <w:pStyle w:val="Normal"/>
        <w:jc w:val="center"/>
        <w:rPr>
          <w:sz w:val="24"/>
          <w:szCs w:val="24"/>
        </w:rPr>
      </w:pPr>
      <w:r>
        <w:rPr>
          <w:rFonts w:cs="Arial" w:ascii="Verdana" w:hAnsi="Verdana"/>
          <w:b/>
          <w:bCs/>
          <w:smallCaps/>
          <w:color w:val="000000"/>
          <w:sz w:val="24"/>
          <w:szCs w:val="24"/>
        </w:rPr>
        <w:t>(Processo Administrativo n° 4941/2025 de 04/07/2025)</w:t>
      </w:r>
    </w:p>
    <w:p>
      <w:pPr>
        <w:pStyle w:val="Normal"/>
        <w:spacing w:before="57" w:after="57"/>
        <w:jc w:val="center"/>
        <w:rPr>
          <w:sz w:val="24"/>
          <w:szCs w:val="24"/>
        </w:rPr>
      </w:pPr>
      <w:r>
        <w:rPr>
          <w:rFonts w:cs="Arial" w:ascii="Verdana" w:hAnsi="Verdana"/>
          <w:b/>
          <w:bCs/>
          <w:smallCaps/>
          <w:color w:val="000000"/>
          <w:sz w:val="24"/>
          <w:szCs w:val="24"/>
        </w:rPr>
        <w:t>EXCLUSIVA ME/EPP</w:t>
      </w:r>
    </w:p>
    <w:p>
      <w:pPr>
        <w:pStyle w:val="Normal"/>
        <w:jc w:val="center"/>
        <w:rPr>
          <w:rFonts w:ascii="Verdana" w:hAnsi="Verdana"/>
          <w:sz w:val="20"/>
          <w:szCs w:val="20"/>
        </w:rPr>
      </w:pPr>
      <w:r>
        <w:rPr>
          <w:rFonts w:ascii="Verdana" w:hAnsi="Verdana"/>
          <w:sz w:val="20"/>
          <w:szCs w:val="20"/>
        </w:rPr>
      </w:r>
    </w:p>
    <w:p>
      <w:pPr>
        <w:pStyle w:val="BodyText"/>
        <w:spacing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before="57" w:after="57"/>
        <w:jc w:val="both"/>
        <w:rPr>
          <w:rFonts w:ascii="Verdana" w:hAnsi="Verdana"/>
          <w:sz w:val="20"/>
          <w:szCs w:val="20"/>
        </w:rPr>
      </w:pPr>
      <w:r>
        <w:rPr>
          <w:rFonts w:cs="Arial" w:ascii="Verdana" w:hAnsi="Verdana"/>
          <w:b/>
          <w:bCs/>
          <w:color w:val="000000"/>
          <w:sz w:val="20"/>
          <w:szCs w:val="20"/>
        </w:rPr>
        <w:t>Data da sessão: 25/09/2025.</w:t>
      </w:r>
    </w:p>
    <w:p>
      <w:pPr>
        <w:pStyle w:val="Normal"/>
        <w:spacing w:before="57" w:after="57"/>
        <w:rPr>
          <w:rFonts w:ascii="Verdana" w:hAnsi="Verdana"/>
          <w:sz w:val="20"/>
          <w:szCs w:val="20"/>
        </w:rPr>
      </w:pPr>
      <w:r>
        <w:rPr>
          <w:rFonts w:cs="Arial" w:ascii="Verdana" w:hAnsi="Verdana"/>
          <w:b/>
          <w:bCs/>
          <w:color w:val="000000"/>
          <w:sz w:val="20"/>
          <w:szCs w:val="20"/>
        </w:rPr>
        <w:t>Horário: 08h00min.</w:t>
      </w:r>
    </w:p>
    <w:p>
      <w:pPr>
        <w:pStyle w:val="Normal"/>
        <w:spacing w:before="57" w:after="57"/>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before="57" w:after="57"/>
        <w:rPr>
          <w:rFonts w:ascii="Verdana" w:hAnsi="Verdana"/>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rPr>
        <w:t>DO OBJETO</w:t>
      </w:r>
    </w:p>
    <w:p>
      <w:pPr>
        <w:pStyle w:val="ListParagraph"/>
        <w:spacing w:lineRule="auto" w:line="240" w:before="0" w:after="0"/>
        <w:ind w:hanging="0" w:left="0"/>
        <w:contextualSpacing w:val="false"/>
        <w:jc w:val="both"/>
        <w:rPr/>
      </w:pPr>
      <w:r>
        <w:rPr>
          <w:rFonts w:cs="Arial" w:ascii="Verdana" w:hAnsi="Verdana"/>
          <w:color w:val="000000"/>
          <w:sz w:val="20"/>
          <w:szCs w:val="20"/>
        </w:rPr>
        <w:t xml:space="preserve">1.1 O objeto da presente licitação é </w:t>
      </w:r>
      <w:bookmarkStart w:id="1" w:name="_Hlk162947020"/>
      <w:bookmarkStart w:id="2" w:name="_Hlk162947020_Copia_1"/>
      <w:r>
        <w:rPr>
          <w:rFonts w:cs="Arial" w:ascii="Verdana" w:hAnsi="Verdana"/>
          <w:color w:val="000000"/>
          <w:sz w:val="20"/>
          <w:szCs w:val="20"/>
        </w:rPr>
        <w:t>a</w:t>
      </w:r>
      <w:bookmarkEnd w:id="2"/>
      <w:r>
        <w:rPr>
          <w:rFonts w:eastAsia="Batang;바탕" w:cs="Arial" w:ascii="Verdana" w:hAnsi="Verdana"/>
          <w:color w:val="000000"/>
          <w:sz w:val="20"/>
          <w:szCs w:val="20"/>
        </w:rPr>
        <w:t>quisição de equipamentos (ferramentas para trabalhos braçais), para atendimento as necessidades da Secretaria Municipal de Educação</w:t>
      </w:r>
      <w:r>
        <w:rPr>
          <w:rFonts w:cs="Arial" w:ascii="Verdana" w:hAnsi="Verdana"/>
          <w:color w:val="000000"/>
          <w:sz w:val="20"/>
          <w:szCs w:val="20"/>
        </w:rPr>
        <w:t xml:space="preserve">, </w:t>
      </w:r>
      <w:r>
        <w:rPr>
          <w:rFonts w:eastAsia="Batang;바탕" w:cs="Arial" w:ascii="Verdana" w:hAnsi="Verdana"/>
          <w:color w:val="000000"/>
          <w:kern w:val="2"/>
          <w:sz w:val="20"/>
          <w:szCs w:val="20"/>
          <w:lang w:eastAsia="en-US" w:bidi="pt-BR"/>
        </w:rPr>
        <w:t>conforme c</w:t>
      </w:r>
      <w:r>
        <w:rPr>
          <w:rFonts w:cs="Arial" w:ascii="Verdana" w:hAnsi="Verdana"/>
          <w:color w:val="000000"/>
          <w:sz w:val="20"/>
          <w:szCs w:val="20"/>
        </w:rPr>
        <w:t>ondições, quantidades e exigências estabelecidas neste Edital e seus anexos</w:t>
      </w:r>
      <w:bookmarkEnd w:id="1"/>
      <w:r>
        <w:rPr>
          <w:rFonts w:cs="Arial" w:ascii="Verdana" w:hAnsi="Verdana"/>
          <w:sz w:val="20"/>
          <w:szCs w:val="20"/>
        </w:rPr>
        <w:t>.</w:t>
      </w:r>
    </w:p>
    <w:p>
      <w:pPr>
        <w:pStyle w:val="Normal"/>
        <w:jc w:val="both"/>
        <w:rPr>
          <w:rFonts w:ascii="Verdana" w:hAnsi="Verdana"/>
          <w:sz w:val="20"/>
          <w:szCs w:val="20"/>
        </w:rPr>
      </w:pPr>
      <w:r>
        <w:rPr>
          <w:rFonts w:cs="Arial" w:ascii="Verdana" w:hAnsi="Verdana"/>
          <w:iCs/>
          <w:color w:themeColor="text1" w:val="000000"/>
          <w:sz w:val="20"/>
          <w:szCs w:val="20"/>
        </w:rPr>
        <w:t>1.2 A licitação será dividida em itens, conforme tabela constante no ANEXO 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jc w:val="both"/>
        <w:rPr>
          <w:rFonts w:ascii="Verdana" w:hAnsi="Verdana"/>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jc w:val="both"/>
        <w:rPr>
          <w:rFonts w:ascii="Verdana" w:hAnsi="Verdana"/>
          <w:sz w:val="20"/>
          <w:szCs w:val="20"/>
        </w:rPr>
      </w:pPr>
      <w:r>
        <w:rPr>
          <w:rFonts w:ascii="Verdana" w:hAnsi="Verdana"/>
          <w:sz w:val="20"/>
          <w:szCs w:val="20"/>
        </w:rPr>
      </w:r>
    </w:p>
    <w:p>
      <w:pPr>
        <w:pStyle w:val="Nivel1"/>
        <w:numPr>
          <w:ilvl w:val="0"/>
          <w:numId w:val="2"/>
        </w:numPr>
        <w:spacing w:lineRule="auto" w:line="240" w:before="0" w:after="0"/>
        <w:ind w:hanging="0" w:left="0"/>
        <w:rPr>
          <w:rFonts w:ascii="Verdana" w:hAnsi="Verdana"/>
          <w:sz w:val="20"/>
          <w:szCs w:val="20"/>
        </w:rPr>
      </w:pPr>
      <w:r>
        <w:rPr>
          <w:rFonts w:cs="Times New Roman" w:ascii="Verdana" w:hAnsi="Verdana"/>
          <w:bCs/>
          <w:sz w:val="20"/>
          <w:szCs w:val="20"/>
        </w:rPr>
        <w:t xml:space="preserve">FUNDAMENTAÇÃO E DESCRIÇÃO DA NECESSIDADE DA CONTRATAÇÃO </w:t>
      </w:r>
    </w:p>
    <w:p>
      <w:pPr>
        <w:pStyle w:val="ListParagraph"/>
        <w:widowControl w:val="false"/>
        <w:tabs>
          <w:tab w:val="clear" w:pos="708"/>
          <w:tab w:val="left" w:pos="-2410" w:leader="none"/>
          <w:tab w:val="left" w:pos="567" w:leader="none"/>
        </w:tabs>
        <w:spacing w:lineRule="auto" w:line="240" w:before="0" w:after="0"/>
        <w:ind w:hanging="0" w:left="0"/>
        <w:contextualSpacing/>
        <w:jc w:val="both"/>
        <w:rPr>
          <w:rFonts w:ascii="Verdana" w:hAnsi="Verdana"/>
          <w:sz w:val="20"/>
          <w:szCs w:val="20"/>
        </w:rPr>
      </w:pPr>
      <w:r>
        <w:rPr>
          <w:rFonts w:cs="Arial" w:ascii="Verdana" w:hAnsi="Verdana"/>
          <w:color w:val="000000"/>
          <w:sz w:val="20"/>
          <w:szCs w:val="20"/>
        </w:rPr>
        <w:t xml:space="preserve">2.1. </w:t>
      </w:r>
      <w:bookmarkStart w:id="3" w:name="_Hlk170988156"/>
      <w:r>
        <w:rPr>
          <w:rFonts w:cs="Arial" w:ascii="Verdana" w:hAnsi="Verdana"/>
          <w:color w:val="000000"/>
          <w:sz w:val="20"/>
          <w:szCs w:val="20"/>
          <w:lang w:eastAsia="zh-CN" w:bidi="hi-IN"/>
        </w:rPr>
        <w:t>A Fundamentação da Contratação e de seus quantitativos encontra-se pormenorizada em tópico específico dos Estudos Técnicos Preliminares, apêndice deste Termo de Referência.</w:t>
      </w:r>
      <w:bookmarkEnd w:id="3"/>
    </w:p>
    <w:p>
      <w:pPr>
        <w:pStyle w:val="ListParagraph"/>
        <w:spacing w:lineRule="auto" w:line="240" w:before="0" w:after="0"/>
        <w:ind w:hanging="0" w:left="0"/>
        <w:contextualSpacing/>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DO CREDENCIAMENTO</w:t>
      </w:r>
    </w:p>
    <w:p>
      <w:pPr>
        <w:pStyle w:val="Default"/>
        <w:ind w:hanging="0"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ind w:hanging="0"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ind w:hanging="0"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ind w:hanging="0"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ind w:hanging="0" w:right="113"/>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ind w:hanging="0" w:right="113"/>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ind w:hanging="0" w:right="113"/>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DA PARTICIPAÇÃO NO PREGÃO.</w:t>
      </w:r>
    </w:p>
    <w:p>
      <w:pPr>
        <w:pStyle w:val="Normal"/>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before="57" w:after="57"/>
        <w:jc w:val="both"/>
        <w:rPr>
          <w:rFonts w:ascii="Verdana" w:hAnsi="Verdana"/>
          <w:sz w:val="20"/>
          <w:szCs w:val="20"/>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before="57" w:after="57"/>
        <w:jc w:val="both"/>
        <w:rPr/>
      </w:pPr>
      <w:r>
        <w:rPr>
          <w:rFonts w:cs="Arial" w:ascii="Verdana" w:hAnsi="Verdana"/>
          <w:iCs/>
          <w:color w:val="000000"/>
          <w:sz w:val="20"/>
          <w:szCs w:val="20"/>
        </w:rPr>
        <w:t xml:space="preserve">4.2.1 </w:t>
      </w:r>
      <w:r>
        <w:rPr>
          <w:rFonts w:cs="Arial" w:ascii="Verdana" w:hAnsi="Verdana"/>
          <w:bCs/>
          <w:iCs/>
          <w:color w:val="000000"/>
          <w:sz w:val="20"/>
          <w:szCs w:val="20"/>
        </w:rPr>
        <w:t>Poderão participar da licitação</w:t>
      </w:r>
      <w:r>
        <w:rPr>
          <w:rFonts w:cs="Arial" w:ascii="Verdana" w:hAnsi="Verdana"/>
          <w:b/>
          <w:bCs/>
          <w:iCs/>
          <w:color w:val="000000"/>
          <w:sz w:val="20"/>
          <w:szCs w:val="20"/>
        </w:rPr>
        <w:t xml:space="preserve"> </w:t>
      </w:r>
      <w:r>
        <w:rPr>
          <w:rFonts w:cs="Arial" w:ascii="Verdana" w:hAnsi="Verdana"/>
          <w:bCs/>
          <w:iCs/>
          <w:color w:val="000000"/>
          <w:sz w:val="20"/>
          <w:szCs w:val="20"/>
        </w:rPr>
        <w:t>as empresas interessadas</w:t>
      </w:r>
      <w:r>
        <w:rPr>
          <w:rFonts w:cs="Arial" w:ascii="Verdana" w:hAnsi="Verdana"/>
          <w:color w:val="000000"/>
          <w:sz w:val="20"/>
          <w:szCs w:val="20"/>
        </w:rPr>
        <w:t>,</w:t>
      </w:r>
      <w:r>
        <w:rPr>
          <w:rFonts w:cs="Arial" w:ascii="Verdana" w:hAnsi="Verdana"/>
          <w:b/>
          <w:bCs/>
          <w:i/>
          <w:color w:val="000000"/>
          <w:sz w:val="20"/>
          <w:szCs w:val="20"/>
        </w:rPr>
        <w:t xml:space="preserve"> </w:t>
      </w:r>
      <w:r>
        <w:rPr>
          <w:rFonts w:cs="Arial" w:ascii="Verdana" w:hAnsi="Verdana"/>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b/>
            <w:bCs/>
            <w:i/>
            <w:iCs/>
            <w:sz w:val="20"/>
            <w:szCs w:val="20"/>
          </w:rPr>
          <w:t>www.portaldecompraspublicas.com.br</w:t>
        </w:r>
      </w:hyperlink>
      <w:r>
        <w:rPr>
          <w:rStyle w:val="InternetLink"/>
          <w:rFonts w:cs="Arial" w:ascii="Verdana" w:hAnsi="Verdana"/>
          <w:b/>
          <w:bCs/>
          <w:iCs/>
          <w:sz w:val="20"/>
          <w:szCs w:val="20"/>
        </w:rPr>
        <w:t>.</w:t>
      </w:r>
    </w:p>
    <w:p>
      <w:pPr>
        <w:pStyle w:val="Normal"/>
        <w:snapToGrid w:val="false"/>
        <w:spacing w:before="57" w:after="57"/>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before="57" w:after="57"/>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before="57" w:after="57"/>
        <w:jc w:val="both"/>
        <w:rPr>
          <w:rFonts w:ascii="Verdana" w:hAnsi="Verdana"/>
          <w:sz w:val="20"/>
          <w:szCs w:val="20"/>
        </w:rPr>
      </w:pPr>
      <w:r>
        <w:rPr>
          <w:rFonts w:cs="Arial" w:ascii="Verdana" w:hAnsi="Verdana"/>
          <w:bCs/>
          <w:color w:val="000000"/>
          <w:sz w:val="20"/>
          <w:szCs w:val="20"/>
        </w:rPr>
        <w:t>4.3.3 A</w:t>
      </w:r>
      <w:bookmarkStart w:id="4"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4"/>
    </w:p>
    <w:p>
      <w:pPr>
        <w:pStyle w:val="Normal"/>
        <w:tabs>
          <w:tab w:val="clear" w:pos="708"/>
          <w:tab w:val="left" w:pos="1440" w:leader="none"/>
        </w:tabs>
        <w:snapToGrid w:val="false"/>
        <w:spacing w:before="57" w:after="57"/>
        <w:jc w:val="both"/>
        <w:rPr>
          <w:rFonts w:ascii="Verdana" w:hAnsi="Verdana"/>
          <w:sz w:val="20"/>
          <w:szCs w:val="20"/>
        </w:rPr>
      </w:pPr>
      <w:r>
        <w:rPr>
          <w:rFonts w:eastAsia="Arial Unicode MS" w:cs="Arial" w:ascii="Verdana" w:hAnsi="Verdana"/>
          <w:color w:val="000000"/>
          <w:sz w:val="20"/>
          <w:szCs w:val="20"/>
        </w:rPr>
        <w:t>4.3.4 E</w:t>
      </w:r>
      <w:bookmarkStart w:id="5"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p>
    <w:p>
      <w:pPr>
        <w:pStyle w:val="Normal"/>
        <w:tabs>
          <w:tab w:val="clear" w:pos="708"/>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4.3.5 P</w:t>
      </w:r>
      <w:bookmarkStart w:id="6"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6"/>
    </w:p>
    <w:p>
      <w:pPr>
        <w:pStyle w:val="Normal"/>
        <w:tabs>
          <w:tab w:val="clear" w:pos="708"/>
          <w:tab w:val="left" w:pos="1440" w:leader="none"/>
        </w:tabs>
        <w:snapToGrid w:val="false"/>
        <w:spacing w:before="57" w:after="57"/>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4.3.7 E</w:t>
      </w:r>
      <w:bookmarkStart w:id="7" w:name="_Ref113883579"/>
      <w:r>
        <w:rPr>
          <w:rFonts w:cs="Arial" w:ascii="Verdana" w:hAnsi="Verdana"/>
          <w:color w:val="000000"/>
          <w:sz w:val="20"/>
          <w:szCs w:val="20"/>
        </w:rPr>
        <w:t>mpresas controladoras, controladas ou coligadas, nos termos da Lei nº 6.404, de 15 de dezembro de 1976, concorrendo entre si;</w:t>
      </w:r>
      <w:bookmarkEnd w:id="7"/>
    </w:p>
    <w:p>
      <w:pPr>
        <w:pStyle w:val="Normal"/>
        <w:tabs>
          <w:tab w:val="clear" w:pos="708"/>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before="57" w:after="57"/>
        <w:jc w:val="both"/>
        <w:rPr>
          <w:rFonts w:ascii="Verdana" w:hAnsi="Verdana"/>
          <w:sz w:val="20"/>
          <w:szCs w:val="20"/>
        </w:rPr>
      </w:pPr>
      <w:r>
        <w:rPr>
          <w:rFonts w:cs="Arial" w:ascii="Verdana" w:hAnsi="Verdana"/>
          <w:color w:val="000000"/>
          <w:sz w:val="20"/>
          <w:szCs w:val="20"/>
        </w:rPr>
        <w:t>4.3.9 A</w:t>
      </w:r>
      <w:bookmarkStart w:id="8" w:name="_Ref113962336"/>
      <w:r>
        <w:rPr>
          <w:rFonts w:cs="Arial" w:ascii="Verdana" w:hAnsi="Verdana"/>
          <w:color w:val="000000"/>
          <w:sz w:val="20"/>
          <w:szCs w:val="20"/>
        </w:rPr>
        <w:t>gente público do órgão ou entidade licitante;</w:t>
      </w:r>
      <w:bookmarkEnd w:id="8"/>
    </w:p>
    <w:p>
      <w:pPr>
        <w:pStyle w:val="Normal"/>
        <w:snapToGrid w:val="false"/>
        <w:spacing w:before="57" w:after="57"/>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before="57" w:after="57"/>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0" w:after="0"/>
        <w:ind w:hanging="0" w:left="0"/>
        <w:rPr>
          <w:rFonts w:ascii="Verdana" w:hAnsi="Verdana"/>
        </w:rPr>
      </w:pPr>
      <w:bookmarkStart w:id="9" w:name="art14§2"/>
      <w:bookmarkEnd w:id="9"/>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0" w:after="0"/>
        <w:ind w:hanging="0" w:left="0"/>
        <w:rPr>
          <w:rFonts w:ascii="Verdana" w:hAnsi="Verdana"/>
        </w:rPr>
      </w:pPr>
      <w:bookmarkStart w:id="10" w:name="art14§3"/>
      <w:bookmarkEnd w:id="10"/>
      <w:r>
        <w:rPr>
          <w:rFonts w:eastAsia="Segoe UI" w:cs="Arial" w:ascii="Verdana" w:hAnsi="Verdana"/>
          <w:bCs/>
          <w:color w:val="000000"/>
        </w:rPr>
        <w:t>4.6 Equiparam-se aos autores do projeto as empresas integrantes do mesmo grupo econômico.</w:t>
      </w:r>
    </w:p>
    <w:p>
      <w:pPr>
        <w:pStyle w:val="Nivel2"/>
        <w:numPr>
          <w:ilvl w:val="0"/>
          <w:numId w:val="0"/>
        </w:numPr>
        <w:spacing w:lineRule="auto" w:line="240" w:before="0" w:after="0"/>
        <w:ind w:hanging="0" w:left="0"/>
        <w:rPr>
          <w:rFonts w:ascii="Verdana" w:hAnsi="Verdana"/>
        </w:rPr>
      </w:pPr>
      <w:bookmarkStart w:id="11" w:name="art14§4"/>
      <w:bookmarkEnd w:id="11"/>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0" w:after="0"/>
        <w:ind w:hanging="0" w:left="0"/>
        <w:rPr/>
      </w:pPr>
      <w:bookmarkStart w:id="12" w:name="art14§5"/>
      <w:bookmarkEnd w:id="12"/>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before="0" w:after="0"/>
        <w:ind w:hanging="0" w:left="0"/>
        <w:rPr>
          <w:rFonts w:ascii="Verdana" w:hAnsi="Verdana"/>
        </w:rPr>
      </w:pPr>
      <w:r>
        <w:rPr>
          <w:rFonts w:cs="Arial" w:ascii="Verdana" w:hAnsi="Verdana"/>
        </w:rPr>
        <w:t>DA APRESENTAÇÃO DA PROPOSTA E DOS DOCUMENTOS DE HABILITAÇÃO</w:t>
      </w:r>
    </w:p>
    <w:p>
      <w:pPr>
        <w:pStyle w:val="Normal"/>
        <w:numPr>
          <w:ilvl w:val="1"/>
          <w:numId w:val="13"/>
        </w:numPr>
        <w:tabs>
          <w:tab w:val="clear" w:pos="708"/>
          <w:tab w:val="left" w:pos="450" w:leader="none"/>
          <w:tab w:val="left" w:pos="1450" w:leader="none"/>
        </w:tabs>
        <w:spacing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4"/>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5"/>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6"/>
        </w:numPr>
        <w:tabs>
          <w:tab w:val="clear" w:pos="708"/>
          <w:tab w:val="left" w:pos="450" w:leader="none"/>
        </w:tabs>
        <w:spacing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7"/>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8"/>
        </w:numPr>
        <w:tabs>
          <w:tab w:val="clear" w:pos="708"/>
          <w:tab w:val="left" w:pos="450" w:leader="none"/>
        </w:tabs>
        <w:spacing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19"/>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0"/>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before="57" w:after="57"/>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DO PREENCHIMENTO DA PROPOSTA</w:t>
      </w:r>
    </w:p>
    <w:p>
      <w:pPr>
        <w:pStyle w:val="Normal"/>
        <w:numPr>
          <w:ilvl w:val="1"/>
          <w:numId w:val="2"/>
        </w:numPr>
        <w:tabs>
          <w:tab w:val="clear" w:pos="708"/>
          <w:tab w:val="left" w:pos="450" w:leader="none"/>
        </w:tabs>
        <w:ind w:hanging="0" w:left="0" w:right="113"/>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ind w:hanging="1638" w:left="1638" w:right="113"/>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ind w:hanging="0" w:right="113"/>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ind w:hanging="0" w:left="0" w:right="113"/>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ind w:hanging="0" w:left="0" w:right="113"/>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ind w:hanging="0" w:left="0" w:right="113"/>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40" w:before="0" w:after="0"/>
        <w:ind w:hanging="6" w:left="0" w:right="113"/>
        <w:contextualSpacing/>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40" w:before="113" w:after="113"/>
        <w:ind w:hanging="6" w:left="0" w:right="113"/>
        <w:contextualSpacing/>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40" w:before="113" w:after="0"/>
        <w:ind w:hanging="6" w:left="0" w:right="113"/>
        <w:contextualSpacing/>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0" w:after="0"/>
        <w:ind w:hanging="0" w:left="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40" w:before="0" w:after="0"/>
        <w:ind w:hanging="6" w:left="0" w:right="113"/>
        <w:contextualSpacing/>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40" w:before="113" w:after="113"/>
        <w:ind w:hanging="6" w:left="0" w:right="113"/>
        <w:contextualSpacing/>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40" w:before="113" w:after="113"/>
        <w:ind w:hanging="0" w:left="0" w:right="113"/>
        <w:contextualSpacing/>
        <w:jc w:val="both"/>
        <w:rPr>
          <w:rFonts w:ascii="Verdana" w:hAnsi="Verdana"/>
          <w:sz w:val="20"/>
          <w:szCs w:val="20"/>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40" w:before="113" w:after="113"/>
        <w:ind w:hanging="0" w:left="0" w:right="113"/>
        <w:contextualSpacing/>
        <w:jc w:val="both"/>
        <w:rPr>
          <w:rFonts w:ascii="Verdana" w:hAnsi="Verdana"/>
          <w:sz w:val="20"/>
          <w:szCs w:val="20"/>
        </w:rPr>
      </w:pPr>
      <w:r>
        <w:rPr>
          <w:rFonts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item.</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57" w:after="57"/>
        <w:ind w:hanging="0"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(hum centavo)</w:t>
      </w:r>
      <w:r>
        <w:rPr>
          <w:rFonts w:ascii="Verdana" w:hAnsi="Verdana"/>
          <w:i/>
          <w:iCs/>
          <w:sz w:val="20"/>
          <w:szCs w:val="20"/>
        </w:rPr>
        <w:t>.</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jc w:val="both"/>
        <w:rPr>
          <w:rFonts w:ascii="Verdana" w:hAnsi="Verdana"/>
          <w:sz w:val="20"/>
          <w:szCs w:val="20"/>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pPr>
        <w:pStyle w:val="Normal"/>
        <w:spacing w:before="57" w:after="57"/>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pPr>
        <w:pStyle w:val="Normal"/>
        <w:spacing w:before="57" w:after="57"/>
        <w:jc w:val="both"/>
        <w:rPr>
          <w:rFonts w:ascii="Verdana" w:hAnsi="Verdana"/>
          <w:sz w:val="20"/>
          <w:szCs w:val="20"/>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before="57" w:after="57"/>
        <w:jc w:val="both"/>
        <w:rPr>
          <w:rFonts w:ascii="Verdana" w:hAnsi="Verdana"/>
          <w:sz w:val="20"/>
          <w:szCs w:val="20"/>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before="57" w:after="57"/>
        <w:jc w:val="both"/>
        <w:rPr>
          <w:rFonts w:ascii="Verdana" w:hAnsi="Verdana"/>
          <w:sz w:val="20"/>
          <w:szCs w:val="20"/>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before="57" w:after="57"/>
        <w:jc w:val="both"/>
        <w:rPr>
          <w:rFonts w:ascii="Verdana" w:hAnsi="Verdana"/>
          <w:sz w:val="20"/>
          <w:szCs w:val="20"/>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before="57" w:after="57"/>
        <w:jc w:val="both"/>
        <w:rPr>
          <w:rFonts w:ascii="Verdana" w:hAnsi="Verdana"/>
          <w:sz w:val="20"/>
          <w:szCs w:val="20"/>
        </w:rPr>
      </w:pPr>
      <w:r>
        <w:rPr>
          <w:rFonts w:cs="Arial" w:ascii="Verdana" w:hAnsi="Verdana"/>
          <w:color w:val="000000"/>
          <w:sz w:val="20"/>
          <w:szCs w:val="20"/>
        </w:rPr>
        <w:t>7.17 O Critério de julgamento adotado será o de menor preço, conforme definido neste Edital e seus anexos.</w:t>
      </w:r>
    </w:p>
    <w:p>
      <w:pPr>
        <w:pStyle w:val="Normal"/>
        <w:spacing w:before="57" w:after="57"/>
        <w:jc w:val="both"/>
        <w:rPr>
          <w:rFonts w:ascii="Verdana" w:hAnsi="Verdana"/>
          <w:sz w:val="20"/>
          <w:szCs w:val="20"/>
        </w:rPr>
      </w:pPr>
      <w:r>
        <w:rPr>
          <w:rFonts w:cs="Arial" w:ascii="Verdana" w:hAnsi="Verdana"/>
          <w:color w:val="000000"/>
          <w:sz w:val="20"/>
          <w:szCs w:val="20"/>
        </w:rPr>
        <w:t>7.18 Caso o licitante não apresente lances, concorrerá com o valor de sua proposta.</w:t>
      </w:r>
    </w:p>
    <w:p>
      <w:pPr>
        <w:pStyle w:val="Normal"/>
        <w:spacing w:before="57" w:after="57"/>
        <w:jc w:val="both"/>
        <w:rPr>
          <w:rFonts w:ascii="Verdana" w:hAnsi="Verdana"/>
          <w:sz w:val="20"/>
          <w:szCs w:val="20"/>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before="57" w:after="57"/>
        <w:jc w:val="both"/>
        <w:rPr>
          <w:rFonts w:ascii="Verdana" w:hAnsi="Verdana"/>
          <w:sz w:val="20"/>
          <w:szCs w:val="20"/>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before="57" w:after="57"/>
        <w:jc w:val="both"/>
        <w:rPr>
          <w:rFonts w:ascii="Verdana" w:hAnsi="Verdana"/>
          <w:sz w:val="20"/>
          <w:szCs w:val="20"/>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before="57" w:after="57"/>
        <w:jc w:val="both"/>
        <w:rPr>
          <w:rFonts w:ascii="Verdana" w:hAnsi="Verdana"/>
          <w:sz w:val="20"/>
          <w:szCs w:val="20"/>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before="57" w:after="57"/>
        <w:jc w:val="both"/>
        <w:rPr>
          <w:rFonts w:ascii="Verdana" w:hAnsi="Verdana"/>
          <w:sz w:val="20"/>
          <w:szCs w:val="20"/>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before="57" w:after="57"/>
        <w:jc w:val="both"/>
        <w:rPr>
          <w:rFonts w:ascii="Verdana" w:hAnsi="Verdana"/>
          <w:sz w:val="20"/>
          <w:szCs w:val="20"/>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before="57" w:after="57"/>
        <w:jc w:val="both"/>
        <w:rPr>
          <w:rFonts w:ascii="Verdana" w:hAnsi="Verdana"/>
          <w:sz w:val="20"/>
          <w:szCs w:val="20"/>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before="57" w:after="57"/>
        <w:jc w:val="both"/>
        <w:rPr>
          <w:rFonts w:ascii="Verdana" w:hAnsi="Verdana"/>
          <w:sz w:val="20"/>
          <w:szCs w:val="20"/>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before="57" w:after="57"/>
        <w:jc w:val="both"/>
        <w:rPr>
          <w:rFonts w:ascii="Verdana" w:hAnsi="Verdana"/>
          <w:sz w:val="20"/>
          <w:szCs w:val="20"/>
        </w:rPr>
      </w:pPr>
      <w:r>
        <w:rPr>
          <w:rFonts w:cs="Arial" w:ascii="Verdana" w:hAnsi="Verdana"/>
          <w:color w:val="000000"/>
          <w:sz w:val="20"/>
          <w:szCs w:val="20"/>
          <w:lang w:eastAsia="en-US"/>
        </w:rPr>
        <w:t>7.25.3 Por empresas brasileiras;</w:t>
      </w:r>
    </w:p>
    <w:p>
      <w:pPr>
        <w:pStyle w:val="Normal"/>
        <w:spacing w:before="57" w:after="57"/>
        <w:jc w:val="both"/>
        <w:rPr>
          <w:rFonts w:ascii="Verdana" w:hAnsi="Verdana"/>
          <w:sz w:val="20"/>
          <w:szCs w:val="20"/>
        </w:rPr>
      </w:pPr>
      <w:r>
        <w:rPr>
          <w:rFonts w:cs="Arial" w:ascii="Verdana" w:hAnsi="Verdana"/>
          <w:color w:val="000000"/>
          <w:sz w:val="20"/>
          <w:szCs w:val="20"/>
          <w:lang w:eastAsia="en-US"/>
        </w:rPr>
        <w:t>7.25.4 Por empresas que invistam em pesquisa e no desenvolvimento de tecnologia no País;</w:t>
      </w:r>
    </w:p>
    <w:p>
      <w:pPr>
        <w:pStyle w:val="Normal"/>
        <w:spacing w:before="57" w:after="57"/>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before="57" w:after="57"/>
        <w:jc w:val="both"/>
        <w:rPr>
          <w:rFonts w:ascii="Verdana" w:hAnsi="Verdana"/>
          <w:sz w:val="20"/>
          <w:szCs w:val="20"/>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before="57" w:after="57"/>
        <w:jc w:val="both"/>
        <w:rPr>
          <w:rFonts w:ascii="Verdana" w:hAnsi="Verdana"/>
          <w:sz w:val="20"/>
          <w:szCs w:val="20"/>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40"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before="0" w:after="0"/>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40" w:before="57" w:after="57"/>
        <w:ind w:hanging="0" w:left="0"/>
        <w:contextualSpacing w:val="false"/>
        <w:jc w:val="both"/>
        <w:rPr/>
      </w:pPr>
      <w:bookmarkStart w:id="13"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184"/>
          <w:sz w:val="20"/>
          <w:u w:val="single"/>
          <w:szCs w:val="20"/>
          <w:rFonts w:cs="Arial" w:ascii="Verdana" w:hAnsi="Verdana"/>
          <w:color w:val="000080"/>
        </w:rPr>
        <w:instrText xml:space="preserve"> HYPERLINK "http://www.planalto.gov.br/ccivil_03/_ato2019-2022/2021/lei/L14133.htm" \l "art14"</w:instrText>
      </w:r>
      <w:r>
        <w:rPr>
          <w:rStyle w:val="ListLabel184"/>
          <w:sz w:val="20"/>
          <w:u w:val="single"/>
          <w:szCs w:val="20"/>
          <w:rFonts w:cs="Arial" w:ascii="Verdana" w:hAnsi="Verdana"/>
          <w:color w:val="000080"/>
        </w:rPr>
        <w:fldChar w:fldCharType="separate"/>
      </w:r>
      <w:r>
        <w:rPr>
          <w:rStyle w:val="ListLabel184"/>
          <w:rFonts w:cs="Arial" w:ascii="Verdana" w:hAnsi="Verdana"/>
          <w:color w:val="000080"/>
          <w:sz w:val="20"/>
          <w:szCs w:val="20"/>
          <w:u w:val="single"/>
        </w:rPr>
        <w:t>art. 14 da Lei nº 14.133/2021</w:t>
      </w:r>
      <w:r>
        <w:rPr>
          <w:rStyle w:val="ListLabel184"/>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3"/>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84"/>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84"/>
          <w:sz w:val="20"/>
          <w:u w:val="single"/>
          <w:szCs w:val="20"/>
          <w:rFonts w:cs="Arial" w:ascii="Verdana" w:hAnsi="Verdana"/>
          <w:color w:val="000080"/>
        </w:rPr>
        <w:fldChar w:fldCharType="separate"/>
      </w:r>
      <w:r>
        <w:rPr>
          <w:rStyle w:val="ListLabel184"/>
          <w:rFonts w:cs="Arial" w:ascii="Verdana" w:hAnsi="Verdana"/>
          <w:color w:val="000080"/>
          <w:sz w:val="20"/>
          <w:szCs w:val="20"/>
          <w:u w:val="single"/>
        </w:rPr>
        <w:t>artigo 29 a 35 da IN SEGES nº 73, de 30 de setembro de 2022</w:t>
      </w:r>
      <w:r>
        <w:rPr>
          <w:rStyle w:val="ListLabel184"/>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ind w:hanging="0" w:left="0"/>
        <w:rPr>
          <w:rFonts w:ascii="Verdana" w:hAnsi="Verdana"/>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57" w:after="57"/>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before="57" w:after="57"/>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40" w:before="57" w:after="57"/>
        <w:ind w:hanging="0"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185"/>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hanging="0"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185"/>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186"/>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185"/>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40" w:before="57" w:after="57"/>
        <w:ind w:hanging="0" w:left="0"/>
        <w:contextualSpacing/>
        <w:jc w:val="both"/>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40" w:before="57" w:after="57"/>
        <w:ind w:hanging="0" w:left="0"/>
        <w:contextualSpacing/>
        <w:jc w:val="both"/>
        <w:rPr>
          <w:rFonts w:ascii="Verdana" w:hAnsi="Verdana"/>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40" w:before="57" w:after="57"/>
        <w:ind w:hanging="0" w:left="0"/>
        <w:contextualSpacing/>
        <w:jc w:val="both"/>
        <w:rPr>
          <w:rFonts w:ascii="Verdana" w:hAnsi="Verdana"/>
          <w:sz w:val="20"/>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187"/>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0"/>
          <w:numId w:val="0"/>
        </w:numPr>
        <w:spacing w:lineRule="auto" w:line="240" w:before="57" w:after="57"/>
        <w:ind w:hanging="0"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40" w:before="57" w:after="57"/>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before="57" w:after="57"/>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before="57" w:after="57"/>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40" w:before="57" w:after="57"/>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57" w:after="57"/>
        <w:ind w:hanging="0" w:left="0"/>
        <w:rPr>
          <w:rFonts w:ascii="Verdana" w:hAnsi="Verdana"/>
        </w:rPr>
      </w:pPr>
      <w:r>
        <w:rPr>
          <w:rFonts w:cs="Arial" w:ascii="Verdana" w:hAnsi="Verdana"/>
          <w:lang w:eastAsia="en-US"/>
        </w:rPr>
        <w:t>DOS RECURSOS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40" w:before="57" w:after="57"/>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57" w:after="57"/>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before="57" w:after="57"/>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before="57" w:after="57"/>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before="57" w:after="57"/>
        <w:rPr>
          <w:rFonts w:ascii="Verdana" w:hAnsi="Verdana" w:cs="Arial"/>
          <w:sz w:val="20"/>
          <w:szCs w:val="20"/>
        </w:rPr>
      </w:pPr>
      <w:r>
        <w:rPr>
          <w:rFonts w:cs="Arial"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rPr>
        <w:t xml:space="preserve">DA ADJUDICAÇÃO E HOMOLOGAÇÃO </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40" w:before="57" w:after="57"/>
        <w:ind w:hanging="0" w:left="0"/>
        <w:contextualSpacing w:val="false"/>
        <w:jc w:val="both"/>
        <w:rPr>
          <w:rFonts w:ascii="Verdana" w:hAnsi="Verdana"/>
          <w:sz w:val="20"/>
          <w:szCs w:val="20"/>
        </w:rPr>
      </w:pPr>
      <w:r>
        <w:rPr>
          <w:rFonts w:ascii="Verdana" w:hAnsi="Verdana"/>
          <w:sz w:val="20"/>
          <w:szCs w:val="20"/>
        </w:rPr>
      </w:r>
    </w:p>
    <w:p>
      <w:pPr>
        <w:pStyle w:val="Normal"/>
        <w:numPr>
          <w:ilvl w:val="0"/>
          <w:numId w:val="2"/>
        </w:numPr>
        <w:spacing w:lineRule="auto" w:line="240"/>
        <w:ind w:hanging="0" w:left="360" w:right="0"/>
        <w:jc w:val="both"/>
        <w:rPr>
          <w:rFonts w:ascii="Verdana" w:hAnsi="Verdana"/>
          <w:sz w:val="20"/>
          <w:szCs w:val="20"/>
        </w:rPr>
      </w:pPr>
      <w:r>
        <w:rPr>
          <w:rFonts w:ascii="Verdana" w:hAnsi="Verdana"/>
          <w:b/>
          <w:bCs/>
          <w:sz w:val="20"/>
          <w:szCs w:val="20"/>
        </w:rPr>
        <w:t xml:space="preserve">MODELO DE EXECUÇÃO CONTRATUAL - </w:t>
      </w:r>
      <w:r>
        <w:rPr>
          <w:rFonts w:cs="Arial" w:ascii="Verdana" w:hAnsi="Verdana"/>
          <w:b/>
          <w:bCs w:val="false"/>
          <w:iCs/>
          <w:sz w:val="20"/>
          <w:szCs w:val="20"/>
          <w:u w:val="none"/>
        </w:rPr>
        <w:t>ENTREGA E CRITÉRIOS DE ACEITAÇÃO DO OBJETO</w:t>
      </w:r>
    </w:p>
    <w:p>
      <w:pPr>
        <w:pStyle w:val="ListParagraph"/>
        <w:numPr>
          <w:ilvl w:val="0"/>
          <w:numId w:val="0"/>
        </w:numPr>
        <w:tabs>
          <w:tab w:val="clear" w:pos="708"/>
          <w:tab w:val="left" w:pos="0" w:leader="none"/>
          <w:tab w:val="left" w:pos="450" w:leader="none"/>
        </w:tabs>
        <w:spacing w:lineRule="auto" w:line="240"/>
        <w:ind w:hanging="0" w:left="0" w:right="0"/>
        <w:jc w:val="both"/>
        <w:rPr>
          <w:rFonts w:ascii="Verdana" w:hAnsi="Verdana"/>
          <w:sz w:val="20"/>
          <w:szCs w:val="20"/>
        </w:rPr>
      </w:pPr>
      <w:r>
        <w:rPr>
          <w:rFonts w:cs="Times New Roman" w:ascii="Verdana" w:hAnsi="Verdana"/>
          <w:b w:val="false"/>
          <w:bCs w:val="false"/>
          <w:iCs/>
          <w:sz w:val="20"/>
          <w:szCs w:val="20"/>
          <w:u w:val="none"/>
        </w:rPr>
        <w:t>14.1. Não haverá celebração de contrato.</w:t>
      </w:r>
    </w:p>
    <w:p>
      <w:pPr>
        <w:pStyle w:val="ListParagraph"/>
        <w:numPr>
          <w:ilvl w:val="0"/>
          <w:numId w:val="0"/>
        </w:numPr>
        <w:tabs>
          <w:tab w:val="clear" w:pos="708"/>
          <w:tab w:val="left" w:pos="0" w:leader="none"/>
          <w:tab w:val="left" w:pos="450" w:leader="none"/>
        </w:tabs>
        <w:spacing w:lineRule="auto" w:line="240"/>
        <w:ind w:hanging="0" w:left="0" w:right="0"/>
        <w:jc w:val="both"/>
        <w:rPr>
          <w:rFonts w:ascii="Verdana" w:hAnsi="Verdana"/>
          <w:sz w:val="20"/>
          <w:szCs w:val="20"/>
        </w:rPr>
      </w:pPr>
      <w:r>
        <w:rPr>
          <w:rFonts w:cs="Times New Roman" w:ascii="Verdana" w:hAnsi="Verdana"/>
          <w:b w:val="false"/>
          <w:bCs w:val="false"/>
          <w:iCs/>
          <w:sz w:val="20"/>
          <w:szCs w:val="20"/>
          <w:u w:val="none"/>
        </w:rPr>
        <w:t xml:space="preserve">14.2. </w:t>
      </w:r>
      <w:r>
        <w:rPr>
          <w:rFonts w:cs="Arial" w:ascii="Verdana" w:hAnsi="Verdana"/>
          <w:sz w:val="20"/>
          <w:szCs w:val="20"/>
        </w:rPr>
        <w:t>A Empresa vencedora deverá garantir a qualidade do objeto, conforme com o apresentado na proposta.</w:t>
      </w:r>
    </w:p>
    <w:p>
      <w:pPr>
        <w:pStyle w:val="ListParagraph"/>
        <w:numPr>
          <w:ilvl w:val="0"/>
          <w:numId w:val="0"/>
        </w:numPr>
        <w:spacing w:lineRule="auto" w:line="240" w:before="0" w:after="0"/>
        <w:ind w:hanging="0" w:left="0"/>
        <w:contextualSpacing w:val="false"/>
        <w:jc w:val="both"/>
        <w:rPr>
          <w:rFonts w:ascii="Verdana" w:hAnsi="Verdana"/>
          <w:sz w:val="20"/>
          <w:szCs w:val="20"/>
        </w:rPr>
      </w:pPr>
      <w:r>
        <w:rPr>
          <w:rFonts w:cs="Arial" w:ascii="Verdana" w:hAnsi="Verdana"/>
          <w:b w:val="false"/>
          <w:bCs w:val="false"/>
          <w:sz w:val="20"/>
          <w:szCs w:val="20"/>
        </w:rPr>
        <w:t xml:space="preserve">14.3. </w:t>
      </w:r>
      <w:r>
        <w:rPr>
          <w:rFonts w:eastAsia="Arial" w:cs="Arial" w:ascii="Verdana" w:hAnsi="Verdana"/>
          <w:b w:val="false"/>
          <w:bCs w:val="false"/>
          <w:sz w:val="20"/>
          <w:szCs w:val="20"/>
        </w:rPr>
        <w:t xml:space="preserve">LOCAL DE ENTREGA </w:t>
      </w:r>
    </w:p>
    <w:p>
      <w:pPr>
        <w:pStyle w:val="ListParagraph"/>
        <w:numPr>
          <w:ilvl w:val="0"/>
          <w:numId w:val="0"/>
        </w:numPr>
        <w:spacing w:lineRule="auto" w:line="240" w:before="0" w:after="0"/>
        <w:ind w:hanging="0" w:left="0"/>
        <w:contextualSpacing w:val="false"/>
        <w:jc w:val="both"/>
        <w:rPr>
          <w:rFonts w:ascii="Verdana" w:hAnsi="Verdana"/>
          <w:sz w:val="20"/>
          <w:szCs w:val="20"/>
        </w:rPr>
      </w:pPr>
      <w:r>
        <w:rPr>
          <w:rFonts w:eastAsia="Arial" w:cs="Arial" w:ascii="Verdana" w:hAnsi="Verdana"/>
          <w:b w:val="false"/>
          <w:bCs w:val="false"/>
          <w:sz w:val="20"/>
          <w:szCs w:val="20"/>
        </w:rPr>
        <w:t>Rua: Praça Vicente Glazar, 159 – Bairro Glória</w:t>
      </w:r>
    </w:p>
    <w:p>
      <w:pPr>
        <w:pStyle w:val="ListParagraph"/>
        <w:numPr>
          <w:ilvl w:val="0"/>
          <w:numId w:val="0"/>
        </w:numPr>
        <w:spacing w:lineRule="auto" w:line="240" w:before="0" w:after="0"/>
        <w:ind w:hanging="0" w:left="0"/>
        <w:contextualSpacing w:val="false"/>
        <w:jc w:val="both"/>
        <w:rPr>
          <w:rFonts w:ascii="Verdana" w:hAnsi="Verdana"/>
          <w:sz w:val="20"/>
          <w:szCs w:val="20"/>
        </w:rPr>
      </w:pPr>
      <w:r>
        <w:rPr>
          <w:rFonts w:eastAsia="Arial" w:cs="Arial" w:ascii="Verdana" w:hAnsi="Verdana"/>
          <w:b w:val="false"/>
          <w:bCs w:val="false"/>
          <w:sz w:val="20"/>
          <w:szCs w:val="20"/>
        </w:rPr>
        <w:t>Secretaria Municipal de Educação</w:t>
      </w:r>
    </w:p>
    <w:p>
      <w:pPr>
        <w:pStyle w:val="ListParagraph"/>
        <w:numPr>
          <w:ilvl w:val="0"/>
          <w:numId w:val="0"/>
        </w:numPr>
        <w:spacing w:lineRule="auto" w:line="240" w:before="0" w:after="0"/>
        <w:ind w:hanging="0" w:left="0"/>
        <w:contextualSpacing w:val="false"/>
        <w:jc w:val="both"/>
        <w:rPr>
          <w:rFonts w:ascii="Verdana" w:hAnsi="Verdana"/>
          <w:sz w:val="20"/>
          <w:szCs w:val="20"/>
        </w:rPr>
      </w:pPr>
      <w:r>
        <w:rPr>
          <w:rFonts w:eastAsia="Arial" w:cs="Arial" w:ascii="Verdana" w:hAnsi="Verdana"/>
          <w:b w:val="false"/>
          <w:bCs w:val="false"/>
          <w:sz w:val="20"/>
          <w:szCs w:val="20"/>
        </w:rPr>
        <w:t>São Gabriel da Palha – ES</w:t>
      </w:r>
    </w:p>
    <w:p>
      <w:pPr>
        <w:pStyle w:val="ListParagraph"/>
        <w:numPr>
          <w:ilvl w:val="0"/>
          <w:numId w:val="0"/>
        </w:numPr>
        <w:spacing w:lineRule="auto" w:line="240" w:before="0" w:after="0"/>
        <w:ind w:hanging="0" w:left="0"/>
        <w:contextualSpacing w:val="false"/>
        <w:jc w:val="both"/>
        <w:rPr>
          <w:rFonts w:ascii="Verdana" w:hAnsi="Verdana"/>
          <w:sz w:val="20"/>
          <w:szCs w:val="20"/>
        </w:rPr>
      </w:pPr>
      <w:r>
        <w:rPr>
          <w:rFonts w:eastAsia="Arial" w:cs="Arial" w:ascii="Verdana" w:hAnsi="Verdana"/>
          <w:b w:val="false"/>
          <w:bCs w:val="false"/>
          <w:sz w:val="20"/>
          <w:szCs w:val="20"/>
        </w:rPr>
        <w:t>CEP 29.7800-000</w:t>
      </w:r>
    </w:p>
    <w:p>
      <w:pPr>
        <w:pStyle w:val="ListParagraph"/>
        <w:numPr>
          <w:ilvl w:val="0"/>
          <w:numId w:val="0"/>
        </w:numPr>
        <w:spacing w:lineRule="auto" w:line="240" w:before="0" w:after="0"/>
        <w:ind w:hanging="0" w:left="0"/>
        <w:contextualSpacing w:val="false"/>
        <w:jc w:val="both"/>
        <w:rPr>
          <w:rFonts w:ascii="Verdana" w:hAnsi="Verdana"/>
          <w:sz w:val="20"/>
          <w:szCs w:val="20"/>
        </w:rPr>
      </w:pPr>
      <w:r>
        <w:rPr>
          <w:rFonts w:eastAsia="Arial" w:cs="Arial" w:ascii="Verdana" w:hAnsi="Verdana"/>
          <w:b w:val="false"/>
          <w:bCs w:val="false"/>
          <w:sz w:val="20"/>
          <w:szCs w:val="20"/>
        </w:rPr>
        <w:t>14.3.1 CONTATO</w:t>
      </w:r>
    </w:p>
    <w:p>
      <w:pPr>
        <w:pStyle w:val="ListParagraph"/>
        <w:numPr>
          <w:ilvl w:val="0"/>
          <w:numId w:val="0"/>
        </w:numPr>
        <w:spacing w:lineRule="auto" w:line="240" w:before="0" w:after="0"/>
        <w:ind w:hanging="0" w:left="0"/>
        <w:contextualSpacing w:val="false"/>
        <w:jc w:val="both"/>
        <w:rPr>
          <w:rFonts w:ascii="Verdana" w:hAnsi="Verdana"/>
          <w:sz w:val="20"/>
          <w:szCs w:val="20"/>
        </w:rPr>
      </w:pPr>
      <w:r>
        <w:rPr>
          <w:rFonts w:eastAsia="Arial" w:cs="Arial" w:ascii="Verdana" w:hAnsi="Verdana"/>
          <w:b w:val="false"/>
          <w:bCs w:val="false"/>
          <w:sz w:val="20"/>
          <w:szCs w:val="20"/>
        </w:rPr>
        <w:t>Tel: 27 99574-4758</w:t>
      </w:r>
    </w:p>
    <w:p>
      <w:pPr>
        <w:pStyle w:val="ListParagraph"/>
        <w:numPr>
          <w:ilvl w:val="0"/>
          <w:numId w:val="0"/>
        </w:numPr>
        <w:spacing w:lineRule="auto" w:line="240" w:before="0" w:after="0"/>
        <w:ind w:hanging="0" w:left="0"/>
        <w:contextualSpacing w:val="false"/>
        <w:jc w:val="both"/>
        <w:rPr>
          <w:rFonts w:ascii="Verdana" w:hAnsi="Verdana"/>
          <w:sz w:val="20"/>
          <w:szCs w:val="20"/>
        </w:rPr>
      </w:pPr>
      <w:r>
        <w:rPr>
          <w:rFonts w:eastAsia="Arial" w:cs="Arial" w:ascii="Verdana" w:hAnsi="Verdana"/>
          <w:b w:val="false"/>
          <w:bCs w:val="false"/>
          <w:sz w:val="20"/>
          <w:szCs w:val="20"/>
        </w:rPr>
        <w:t>Email: financeirosemecsgp@gmail.com</w:t>
      </w:r>
    </w:p>
    <w:p>
      <w:pPr>
        <w:pStyle w:val="ListParagraph"/>
        <w:numPr>
          <w:ilvl w:val="0"/>
          <w:numId w:val="0"/>
        </w:numPr>
        <w:spacing w:lineRule="auto" w:line="240" w:before="0" w:after="0"/>
        <w:ind w:hanging="0" w:left="0"/>
        <w:contextualSpacing w:val="false"/>
        <w:jc w:val="both"/>
        <w:rPr>
          <w:rFonts w:ascii="Verdana" w:hAnsi="Verdana"/>
          <w:sz w:val="20"/>
          <w:szCs w:val="20"/>
        </w:rPr>
      </w:pPr>
      <w:r>
        <w:rPr>
          <w:rFonts w:eastAsia="Arial" w:cs="Arial" w:ascii="Verdana" w:hAnsi="Verdana"/>
          <w:b w:val="false"/>
          <w:bCs w:val="false"/>
          <w:sz w:val="20"/>
          <w:szCs w:val="20"/>
        </w:rPr>
        <w:t>Responsável: Secretaria Municipal de Educação</w:t>
      </w:r>
    </w:p>
    <w:p>
      <w:pPr>
        <w:pStyle w:val="ListParagraph"/>
        <w:numPr>
          <w:ilvl w:val="0"/>
          <w:numId w:val="0"/>
        </w:numPr>
        <w:spacing w:lineRule="auto" w:line="240" w:before="0" w:after="0"/>
        <w:ind w:hanging="0" w:left="0"/>
        <w:contextualSpacing w:val="false"/>
        <w:jc w:val="both"/>
        <w:rPr>
          <w:rFonts w:ascii="Verdana" w:hAnsi="Verdana"/>
          <w:sz w:val="20"/>
          <w:szCs w:val="20"/>
        </w:rPr>
      </w:pPr>
      <w:r>
        <w:rPr>
          <w:rFonts w:eastAsia="Arial" w:cs="Arial" w:ascii="Verdana" w:hAnsi="Verdana"/>
          <w:b w:val="false"/>
          <w:bCs w:val="false"/>
          <w:sz w:val="20"/>
          <w:szCs w:val="20"/>
        </w:rPr>
        <w:t>14.3.2. Os equipamentos deverão ser entregues diretamente na Secretaria Municipal de Educação, das 12h às 17h de segunda a quinta-feira, e de 07h às 12h na sexta-feira, observando os dias de funcionamento, juntamente com a Nota Fiscal, pelo prazo de até 30 (trinta) dias corridos a contar do recebimento da Autorização de Fornecimento, emitida pelo Departamento Municipal de Compras e Contratos.</w:t>
      </w:r>
    </w:p>
    <w:p>
      <w:pPr>
        <w:pStyle w:val="ListParagraph"/>
        <w:numPr>
          <w:ilvl w:val="0"/>
          <w:numId w:val="0"/>
        </w:numPr>
        <w:spacing w:lineRule="auto" w:line="240" w:before="0" w:after="0"/>
        <w:ind w:hanging="0" w:left="0"/>
        <w:contextualSpacing w:val="false"/>
        <w:jc w:val="both"/>
        <w:rPr>
          <w:rFonts w:ascii="Verdana" w:hAnsi="Verdana"/>
          <w:sz w:val="20"/>
          <w:szCs w:val="20"/>
        </w:rPr>
      </w:pPr>
      <w:r>
        <w:rPr>
          <w:rFonts w:eastAsia="Arial" w:cs="Arial" w:ascii="Verdana" w:hAnsi="Verdana"/>
          <w:b w:val="false"/>
          <w:bCs w:val="false"/>
          <w:sz w:val="20"/>
          <w:szCs w:val="20"/>
        </w:rPr>
        <w:t>14.4 A entrega deverá ocorrer sem qualquer ônus adicional, bem como a descarga e todas as demais despesas provenientes da mesma, previamente agendada com esta Secretaria;</w:t>
      </w:r>
    </w:p>
    <w:p>
      <w:pPr>
        <w:pStyle w:val="ListParagraph"/>
        <w:numPr>
          <w:ilvl w:val="0"/>
          <w:numId w:val="0"/>
        </w:numPr>
        <w:spacing w:lineRule="auto" w:line="240" w:before="0" w:after="0"/>
        <w:ind w:hanging="0" w:left="0"/>
        <w:contextualSpacing w:val="false"/>
        <w:jc w:val="both"/>
        <w:rPr>
          <w:rFonts w:ascii="Verdana" w:hAnsi="Verdana"/>
          <w:sz w:val="20"/>
          <w:szCs w:val="20"/>
        </w:rPr>
      </w:pPr>
      <w:r>
        <w:rPr>
          <w:rFonts w:eastAsia="Arial" w:cs="Arial" w:ascii="Verdana" w:hAnsi="Verdana"/>
          <w:b w:val="false"/>
          <w:bCs w:val="false"/>
          <w:sz w:val="20"/>
          <w:szCs w:val="20"/>
        </w:rPr>
        <w:t xml:space="preserve">14.5 A Empresa vencedora garantirá a qualidade dos materiais obrigando-se a repor aquele que apresentar defeito ou for entregue em desacordo com o apresentado na proposta; </w:t>
      </w:r>
    </w:p>
    <w:p>
      <w:pPr>
        <w:pStyle w:val="ListParagraph"/>
        <w:numPr>
          <w:ilvl w:val="0"/>
          <w:numId w:val="0"/>
        </w:numPr>
        <w:spacing w:lineRule="auto" w:line="240" w:before="0" w:after="0"/>
        <w:ind w:hanging="0" w:left="0"/>
        <w:contextualSpacing w:val="false"/>
        <w:jc w:val="both"/>
        <w:rPr>
          <w:rFonts w:ascii="Verdana" w:hAnsi="Verdana"/>
          <w:sz w:val="20"/>
          <w:szCs w:val="20"/>
        </w:rPr>
      </w:pPr>
      <w:r>
        <w:rPr>
          <w:rFonts w:eastAsia="Arial" w:cs="Arial" w:ascii="Verdana" w:hAnsi="Verdana"/>
          <w:b w:val="false"/>
          <w:bCs w:val="false"/>
          <w:sz w:val="20"/>
          <w:szCs w:val="20"/>
        </w:rPr>
        <w:t>14.6 O recebimento provisório dos produtos não implica em aceitação dos mesmos;</w:t>
      </w:r>
    </w:p>
    <w:p>
      <w:pPr>
        <w:pStyle w:val="ListParagraph"/>
        <w:numPr>
          <w:ilvl w:val="0"/>
          <w:numId w:val="0"/>
        </w:numPr>
        <w:spacing w:lineRule="auto" w:line="240" w:before="0" w:after="0"/>
        <w:ind w:hanging="0" w:left="0"/>
        <w:contextualSpacing w:val="false"/>
        <w:jc w:val="both"/>
        <w:rPr>
          <w:rFonts w:ascii="Verdana" w:hAnsi="Verdana"/>
          <w:sz w:val="20"/>
          <w:szCs w:val="20"/>
        </w:rPr>
      </w:pPr>
      <w:r>
        <w:rPr>
          <w:rFonts w:eastAsia="Arial" w:cs="Arial" w:ascii="Verdana" w:hAnsi="Verdana"/>
          <w:b w:val="false"/>
          <w:bCs w:val="false"/>
          <w:sz w:val="20"/>
          <w:szCs w:val="20"/>
        </w:rPr>
        <w:t>14.7 Os produtos que não estiverem de acordo com as especificações exigidas, ap</w:t>
      </w:r>
      <w:r>
        <w:rPr>
          <w:rFonts w:eastAsia="Arial" w:cs="Arial" w:ascii="Verdana" w:hAnsi="Verdana"/>
          <w:sz w:val="20"/>
          <w:szCs w:val="20"/>
        </w:rPr>
        <w:t xml:space="preserve">resentem vício de qualidade ou impropriedade para o uso, serão recusadas e devolvidas parcial ou totalmente, conforme caso, ficando a CONTRATADA, obrigada a substituí-los no prazo de 5 (cinco) dias úteis, contadas do recebimento da notificação </w:t>
      </w:r>
      <w:r>
        <w:rPr>
          <w:rFonts w:eastAsia="Arial" w:cs="Arial" w:ascii="Verdana" w:hAnsi="Verdana"/>
          <w:b w:val="false"/>
          <w:bCs w:val="false"/>
          <w:sz w:val="20"/>
          <w:szCs w:val="20"/>
        </w:rPr>
        <w:t>escrita, sob pena de incorrer em atraso quanto ao prazo de execução;</w:t>
      </w:r>
    </w:p>
    <w:p>
      <w:pPr>
        <w:pStyle w:val="ListParagraph"/>
        <w:numPr>
          <w:ilvl w:val="0"/>
          <w:numId w:val="0"/>
        </w:numPr>
        <w:spacing w:lineRule="auto" w:line="240" w:before="0" w:after="0"/>
        <w:ind w:hanging="0" w:left="0"/>
        <w:contextualSpacing w:val="false"/>
        <w:jc w:val="both"/>
        <w:rPr>
          <w:rFonts w:ascii="Verdana" w:hAnsi="Verdana"/>
          <w:sz w:val="20"/>
          <w:szCs w:val="20"/>
        </w:rPr>
      </w:pPr>
      <w:r>
        <w:rPr>
          <w:rFonts w:eastAsia="Arial" w:cs="Arial" w:ascii="Verdana" w:hAnsi="Verdana"/>
          <w:b w:val="false"/>
          <w:bCs w:val="false"/>
          <w:iCs/>
          <w:color w:val="auto"/>
          <w:kern w:val="0"/>
          <w:sz w:val="20"/>
          <w:szCs w:val="20"/>
          <w:u w:val="none"/>
          <w:lang w:val="pt-BR" w:eastAsia="zh-CN" w:bidi="ar-SA"/>
        </w:rPr>
        <w:t>14.8 Havendo erro na Nota Fiscal ou outra circunstância impeditiva, o recebimento definitivo será suspenso, até que a empresa tome as medidas saneadoras necessárias.</w:t>
      </w:r>
    </w:p>
    <w:p>
      <w:pPr>
        <w:pStyle w:val="Normal"/>
        <w:numPr>
          <w:ilvl w:val="0"/>
          <w:numId w:val="0"/>
        </w:numPr>
        <w:tabs>
          <w:tab w:val="clear" w:pos="708"/>
          <w:tab w:val="left" w:pos="508" w:leader="none"/>
        </w:tabs>
        <w:spacing w:lineRule="auto" w:line="240"/>
        <w:ind w:hanging="0" w:left="0" w:right="0"/>
        <w:jc w:val="both"/>
        <w:rPr>
          <w:rFonts w:ascii="Verdana" w:hAnsi="Verdana"/>
          <w:sz w:val="20"/>
          <w:szCs w:val="20"/>
        </w:rPr>
      </w:pPr>
      <w:r>
        <w:rPr>
          <w:rFonts w:cs="Times New Roman" w:ascii="Verdana" w:hAnsi="Verdana"/>
          <w:b w:val="false"/>
          <w:bCs w:val="false"/>
          <w:iCs/>
          <w:color w:val="auto"/>
          <w:sz w:val="20"/>
          <w:szCs w:val="20"/>
        </w:rPr>
        <w:t>14.9</w:t>
      </w:r>
      <w:r>
        <w:rPr>
          <w:rFonts w:cs="Times New Roman" w:ascii="Verdana" w:hAnsi="Verdana"/>
          <w:b/>
          <w:bCs/>
          <w:iCs/>
          <w:color w:val="auto"/>
          <w:sz w:val="20"/>
          <w:szCs w:val="20"/>
        </w:rPr>
        <w:t xml:space="preserve">. </w:t>
      </w:r>
      <w:r>
        <w:rPr>
          <w:rFonts w:cs="Times New Roman" w:ascii="Verdana" w:hAnsi="Verdana"/>
          <w:bCs/>
          <w:iCs/>
          <w:color w:val="auto"/>
          <w:sz w:val="20"/>
          <w:szCs w:val="20"/>
        </w:rPr>
        <w:t xml:space="preserve">Caso não seja possível a realização na data assinalada, a empresa deverá comunicar as razões respectivas com pelo menos 03 (três) dias de antecedência para que qualquer pleito de prorrogação de prazo seja analisado, ressalvadas situações de caso fortuito e </w:t>
      </w:r>
      <w:r>
        <w:rPr>
          <w:rFonts w:cs="Times New Roman" w:ascii="Verdana" w:hAnsi="Verdana"/>
          <w:iCs/>
          <w:color w:val="auto"/>
          <w:sz w:val="20"/>
          <w:szCs w:val="20"/>
        </w:rPr>
        <w:t>força</w:t>
      </w:r>
      <w:r>
        <w:rPr>
          <w:rFonts w:cs="Times New Roman" w:ascii="Verdana" w:hAnsi="Verdana"/>
          <w:bCs/>
          <w:iCs/>
          <w:color w:val="auto"/>
          <w:sz w:val="20"/>
          <w:szCs w:val="20"/>
        </w:rPr>
        <w:t xml:space="preserve"> maior.</w:t>
      </w:r>
    </w:p>
    <w:p>
      <w:pPr>
        <w:pStyle w:val="Nivel2"/>
        <w:numPr>
          <w:ilvl w:val="0"/>
          <w:numId w:val="0"/>
        </w:numPr>
        <w:spacing w:lineRule="auto" w:line="240" w:before="0" w:after="0"/>
        <w:ind w:hanging="0" w:left="0" w:right="0"/>
        <w:rPr>
          <w:rFonts w:ascii="Verdana" w:hAnsi="Verdana"/>
          <w:sz w:val="20"/>
          <w:szCs w:val="20"/>
        </w:rPr>
      </w:pPr>
      <w:r>
        <w:rPr>
          <w:rFonts w:cs="Times New Roman" w:ascii="Verdana" w:hAnsi="Verdana"/>
          <w:b w:val="false"/>
          <w:bCs w:val="false"/>
          <w:color w:val="auto"/>
          <w:sz w:val="20"/>
          <w:szCs w:val="20"/>
        </w:rPr>
        <w:t>14.10.</w:t>
      </w:r>
      <w:r>
        <w:rPr>
          <w:rFonts w:cs="Times New Roman" w:ascii="Verdana" w:hAnsi="Verdana"/>
          <w:bCs/>
          <w:color w:val="auto"/>
          <w:sz w:val="20"/>
          <w:szCs w:val="20"/>
        </w:rPr>
        <w:t xml:space="preserve"> A entrega será acompanhada e fiscalizada por funcionário da secretaria requisitante, para efeito de posterior verificação de sua conformidade com as especificações constantes neste Termo de Referência e na proposta.</w:t>
      </w:r>
    </w:p>
    <w:p>
      <w:pPr>
        <w:pStyle w:val="Nivel2"/>
        <w:numPr>
          <w:ilvl w:val="0"/>
          <w:numId w:val="0"/>
        </w:numPr>
        <w:spacing w:lineRule="auto" w:line="240" w:before="0" w:after="0"/>
        <w:ind w:hanging="0" w:left="0" w:right="0"/>
        <w:rPr>
          <w:rFonts w:ascii="Verdana" w:hAnsi="Verdana"/>
          <w:sz w:val="20"/>
          <w:szCs w:val="20"/>
        </w:rPr>
      </w:pPr>
      <w:r>
        <w:rPr>
          <w:rFonts w:cs="Times New Roman" w:ascii="Verdana" w:hAnsi="Verdana"/>
          <w:b w:val="false"/>
          <w:bCs w:val="false"/>
          <w:color w:val="auto"/>
          <w:sz w:val="20"/>
          <w:szCs w:val="20"/>
        </w:rPr>
        <w:t>14.11.</w:t>
      </w:r>
      <w:r>
        <w:rPr>
          <w:rFonts w:cs="Times New Roman" w:ascii="Verdana" w:hAnsi="Verdana"/>
          <w:bCs/>
          <w:color w:val="auto"/>
          <w:sz w:val="20"/>
          <w:szCs w:val="20"/>
        </w:rPr>
        <w:t xml:space="preserve"> O objeto poderá ser rejeitado, no todo ou em parte, quando em desacordo com as especificações constantes no ETP, neste Termo de Referência, no Contrato e na respectiva Autorização de Fornecimento, devendo ser substituído/executado imediatamente, no momento da constatação pelo demandante,  às suas custas.</w:t>
      </w:r>
    </w:p>
    <w:p>
      <w:pPr>
        <w:pStyle w:val="ListParagraph"/>
        <w:numPr>
          <w:ilvl w:val="0"/>
          <w:numId w:val="0"/>
        </w:numPr>
        <w:spacing w:lineRule="auto" w:line="240" w:before="0" w:after="0"/>
        <w:ind w:hanging="0" w:left="0" w:right="0"/>
        <w:contextualSpacing/>
        <w:jc w:val="both"/>
        <w:rPr>
          <w:rFonts w:ascii="Verdana" w:hAnsi="Verdana"/>
          <w:sz w:val="20"/>
          <w:szCs w:val="20"/>
        </w:rPr>
      </w:pPr>
      <w:r>
        <w:rPr>
          <w:rFonts w:ascii="Verdana" w:hAnsi="Verdana"/>
          <w:b w:val="false"/>
          <w:bCs w:val="false"/>
          <w:sz w:val="20"/>
          <w:szCs w:val="20"/>
        </w:rPr>
        <w:t>14.12.</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eastAsia="Times New Roman" w:cs="Times New Roman" w:ascii="Verdana" w:hAnsi="Verdana"/>
          <w:sz w:val="20"/>
          <w:szCs w:val="20"/>
        </w:rPr>
        <w:t>da contratada pelos prejuízos resultantes da incorreta execução do contrato.</w:t>
      </w:r>
    </w:p>
    <w:p>
      <w:pPr>
        <w:pStyle w:val="Nivel2"/>
        <w:numPr>
          <w:ilvl w:val="0"/>
          <w:numId w:val="0"/>
        </w:numPr>
        <w:tabs>
          <w:tab w:val="clear" w:pos="708"/>
          <w:tab w:val="left" w:pos="508" w:leader="none"/>
        </w:tabs>
        <w:spacing w:lineRule="auto" w:line="240" w:before="0" w:after="0"/>
        <w:ind w:hanging="0" w:left="0" w:right="0"/>
        <w:rPr>
          <w:rFonts w:ascii="Verdana" w:hAnsi="Verdana"/>
          <w:sz w:val="20"/>
          <w:szCs w:val="20"/>
        </w:rPr>
      </w:pPr>
      <w:r>
        <w:rPr>
          <w:rFonts w:eastAsia="Times New Roman" w:cs="Times New Roman" w:ascii="Verdana" w:hAnsi="Verdana"/>
          <w:b w:val="false"/>
          <w:bCs w:val="false"/>
          <w:iCs/>
          <w:color w:val="auto"/>
          <w:sz w:val="20"/>
          <w:szCs w:val="20"/>
          <w:lang w:eastAsia="pt-BR"/>
        </w:rPr>
        <w:t>14.13. No caso de recusa da execução dos serviços pelo fornecedor, a Administração Pública adotará as providências cabíveis, de cordo com a legislação aplicável, visando sanar problemas por ventura ocorridos.</w:t>
      </w:r>
    </w:p>
    <w:p>
      <w:pPr>
        <w:pStyle w:val="Nivel2"/>
        <w:numPr>
          <w:ilvl w:val="0"/>
          <w:numId w:val="0"/>
        </w:numPr>
        <w:spacing w:lineRule="auto" w:line="240" w:before="0" w:after="0"/>
        <w:ind w:hanging="0" w:left="0"/>
        <w:rPr>
          <w:iCs/>
        </w:rPr>
      </w:pPr>
      <w:r>
        <w:rPr>
          <w:iCs/>
        </w:rPr>
      </w:r>
    </w:p>
    <w:p>
      <w:pPr>
        <w:pStyle w:val="ListParagraph"/>
        <w:tabs>
          <w:tab w:val="clear" w:pos="708"/>
          <w:tab w:val="left" w:pos="850" w:leader="none"/>
        </w:tabs>
        <w:spacing w:lineRule="auto" w:line="240" w:before="0" w:after="0"/>
        <w:ind w:hanging="0" w:left="720" w:right="57"/>
        <w:contextualSpacing w:val="false"/>
        <w:jc w:val="both"/>
        <w:rPr>
          <w:rFonts w:ascii="Verdana" w:hAnsi="Verdana"/>
          <w:b/>
          <w:bCs/>
          <w:sz w:val="20"/>
          <w:szCs w:val="20"/>
        </w:rPr>
      </w:pPr>
      <w:r>
        <w:rPr>
          <w:rFonts w:ascii="Verdana" w:hAnsi="Verdana"/>
          <w:b/>
          <w:bCs/>
          <w:sz w:val="20"/>
          <w:szCs w:val="20"/>
        </w:rPr>
        <w:t xml:space="preserve">15. </w:t>
      </w:r>
      <w:r>
        <w:rPr>
          <w:rFonts w:eastAsia="Times New Roman" w:cs="Arial" w:ascii="Verdana" w:hAnsi="Verdana"/>
          <w:b/>
          <w:bCs/>
          <w:color w:val="auto"/>
          <w:kern w:val="0"/>
          <w:sz w:val="20"/>
          <w:szCs w:val="20"/>
          <w:lang w:val="pt-BR" w:eastAsia="zh-CN" w:bidi="ar-SA"/>
        </w:rPr>
        <w:t>DA GARANTIA E PRAZO DE VALIDADE DO OBJETO</w:t>
      </w:r>
    </w:p>
    <w:p>
      <w:pPr>
        <w:pStyle w:val="Normal"/>
        <w:spacing w:lineRule="auto" w:line="240" w:before="0" w:after="0"/>
        <w:jc w:val="both"/>
        <w:rPr>
          <w:rFonts w:ascii="Verdana" w:hAnsi="Verdana"/>
          <w:sz w:val="20"/>
          <w:szCs w:val="20"/>
        </w:rPr>
      </w:pPr>
      <w:r>
        <w:rPr>
          <w:rFonts w:eastAsia="Times New Roman" w:cs="Arial" w:ascii="Verdana" w:hAnsi="Verdana"/>
          <w:b w:val="false"/>
          <w:bCs w:val="false"/>
          <w:color w:val="auto"/>
          <w:kern w:val="0"/>
          <w:sz w:val="20"/>
          <w:szCs w:val="20"/>
          <w:lang w:val="pt-BR" w:eastAsia="zh-CN" w:bidi="ar-SA"/>
        </w:rPr>
        <w:t>15.1 O objeto deste Termo de Referência, em se tratando do fornecimento de produtos, deverá ser novo e de primeiro uso, não sendo, em hipótese alguma, permita a oferta de materiais resultantes de processo de reforma, recondicionamento e/ou remanufaturamento, devendo ser fabricados de acordo com as normas técnicas e a legislação vigente.</w:t>
      </w:r>
    </w:p>
    <w:p>
      <w:pPr>
        <w:pStyle w:val="Normal"/>
        <w:spacing w:lineRule="auto" w:line="240" w:before="0" w:after="0"/>
        <w:jc w:val="both"/>
        <w:rPr>
          <w:rFonts w:ascii="Verdana" w:hAnsi="Verdana"/>
          <w:sz w:val="20"/>
          <w:szCs w:val="20"/>
        </w:rPr>
      </w:pPr>
      <w:r>
        <w:rPr>
          <w:rFonts w:eastAsia="Times New Roman" w:cs="Arial" w:ascii="Verdana" w:hAnsi="Verdana"/>
          <w:b w:val="false"/>
          <w:bCs w:val="false"/>
          <w:color w:val="auto"/>
          <w:kern w:val="0"/>
          <w:sz w:val="20"/>
          <w:szCs w:val="20"/>
          <w:lang w:val="pt-BR" w:eastAsia="zh-CN" w:bidi="ar-SA"/>
        </w:rPr>
        <w:t>15.2 A execução do objeto deverá estar de acordo com as normas técnicas e a legislação vigente.</w:t>
      </w:r>
    </w:p>
    <w:p>
      <w:pPr>
        <w:pStyle w:val="Normal"/>
        <w:spacing w:lineRule="auto" w:line="240" w:before="0" w:after="0"/>
        <w:jc w:val="both"/>
        <w:rPr>
          <w:rFonts w:ascii="Verdana" w:hAnsi="Verdana"/>
          <w:sz w:val="20"/>
          <w:szCs w:val="20"/>
        </w:rPr>
      </w:pPr>
      <w:r>
        <w:rPr>
          <w:rFonts w:eastAsia="Times New Roman" w:cs="Arial" w:ascii="Verdana" w:hAnsi="Verdana"/>
          <w:b w:val="false"/>
          <w:bCs w:val="false"/>
          <w:color w:val="auto"/>
          <w:kern w:val="0"/>
          <w:sz w:val="20"/>
          <w:szCs w:val="20"/>
          <w:lang w:val="pt-BR" w:eastAsia="zh-CN" w:bidi="ar-SA"/>
        </w:rPr>
        <w:t>15.3 Caso a CONTRATADA apresente o objeto em desacordo com as especificações técnicas constantes no Termo de Referência terá o objeto recusado no todo ou em parte.</w:t>
      </w:r>
    </w:p>
    <w:p>
      <w:pPr>
        <w:pStyle w:val="Normal"/>
        <w:spacing w:lineRule="auto" w:line="240" w:before="0" w:after="0"/>
        <w:jc w:val="both"/>
        <w:rPr>
          <w:rFonts w:ascii="Verdana" w:hAnsi="Verdana"/>
          <w:sz w:val="20"/>
          <w:szCs w:val="20"/>
        </w:rPr>
      </w:pPr>
      <w:r>
        <w:rPr>
          <w:rFonts w:eastAsia="Times New Roman" w:cs="Arial" w:ascii="Verdana" w:hAnsi="Verdana"/>
          <w:b w:val="false"/>
          <w:bCs w:val="false"/>
          <w:color w:val="auto"/>
          <w:kern w:val="0"/>
          <w:sz w:val="20"/>
          <w:szCs w:val="20"/>
          <w:lang w:val="pt-BR" w:eastAsia="zh-CN" w:bidi="ar-SA"/>
        </w:rPr>
        <w:t>15.4 O produto ou serviço objeto deste Termo de Referência terá garantia do fabricante de, no mínimo, 12 (doze) meses, já incluso neste período o prazo de garantia legal do Código de Defesa do Consumidor (CDC), contra quaisquer defeitos de fabricação, vícios ou fato do produto, a contar da data do recebimento definitivo e aceitação do objeto, sem quaisquer ônus adicionais para a CONTRATANTE.</w:t>
      </w:r>
    </w:p>
    <w:p>
      <w:pPr>
        <w:pStyle w:val="Normal"/>
        <w:spacing w:lineRule="auto" w:line="240" w:before="0" w:after="0"/>
        <w:jc w:val="both"/>
        <w:rPr>
          <w:rFonts w:ascii="Verdana" w:hAnsi="Verdana"/>
          <w:sz w:val="20"/>
          <w:szCs w:val="20"/>
        </w:rPr>
      </w:pPr>
      <w:r>
        <w:rPr>
          <w:rFonts w:eastAsia="Times New Roman" w:cs="Arial" w:ascii="Verdana" w:hAnsi="Verdana"/>
          <w:b w:val="false"/>
          <w:bCs w:val="false"/>
          <w:color w:val="auto"/>
          <w:kern w:val="0"/>
          <w:sz w:val="20"/>
          <w:szCs w:val="20"/>
          <w:lang w:val="pt-BR" w:eastAsia="zh-CN" w:bidi="ar-SA"/>
        </w:rPr>
        <w:t>15.4.1 O prazo de validade do objeto deverá ser de 12 (doze) meses a contar da data da fabricação ou no mínimo 75% do prazo de validade total do produto de acordo com o fabricante indicado na embalagem do produto ou em cerificado do fabricante.</w:t>
      </w:r>
    </w:p>
    <w:p>
      <w:pPr>
        <w:pStyle w:val="Normal"/>
        <w:spacing w:lineRule="auto" w:line="240" w:before="0" w:after="0"/>
        <w:jc w:val="both"/>
        <w:rPr>
          <w:rFonts w:ascii="Verdana" w:hAnsi="Verdana"/>
          <w:sz w:val="20"/>
          <w:szCs w:val="20"/>
        </w:rPr>
      </w:pPr>
      <w:r>
        <w:rPr>
          <w:rFonts w:eastAsia="Times New Roman" w:cs="Arial" w:ascii="Verdana" w:hAnsi="Verdana"/>
          <w:b w:val="false"/>
          <w:bCs w:val="false"/>
          <w:color w:val="auto"/>
          <w:kern w:val="0"/>
          <w:sz w:val="20"/>
          <w:szCs w:val="20"/>
          <w:lang w:val="pt-BR" w:eastAsia="zh-CN" w:bidi="ar-SA"/>
        </w:rPr>
        <w:t>15.5 A garantia técnica do objeto substituirá independentemente da vigência do instrumento contratual ou instrumento congênere.</w:t>
      </w:r>
    </w:p>
    <w:p>
      <w:pPr>
        <w:pStyle w:val="Normal"/>
        <w:spacing w:lineRule="auto" w:line="240" w:before="0" w:after="0"/>
        <w:jc w:val="both"/>
        <w:rPr>
          <w:rFonts w:ascii="Verdana" w:hAnsi="Verdana"/>
          <w:sz w:val="20"/>
          <w:szCs w:val="20"/>
        </w:rPr>
      </w:pPr>
      <w:r>
        <w:rPr>
          <w:rFonts w:eastAsia="Times New Roman" w:cs="Arial" w:ascii="Verdana" w:hAnsi="Verdana"/>
          <w:b w:val="false"/>
          <w:bCs w:val="false"/>
          <w:color w:val="auto"/>
          <w:kern w:val="0"/>
          <w:sz w:val="20"/>
          <w:szCs w:val="20"/>
          <w:lang w:val="pt-BR" w:eastAsia="zh-CN" w:bidi="ar-SA"/>
        </w:rPr>
        <w:t>15.6 Durante o prazo da garantia e com o objetivo de manter o bem em perfeitas condições de uso, o cumprimento da garantia deverá ser exercido de acordo com manuais e normas técnicas específicas dos fabricantes.</w:t>
      </w:r>
    </w:p>
    <w:p>
      <w:pPr>
        <w:pStyle w:val="Normal"/>
        <w:spacing w:lineRule="auto" w:line="240" w:before="0" w:after="0"/>
        <w:jc w:val="both"/>
        <w:rPr>
          <w:rFonts w:ascii="Verdana" w:hAnsi="Verdana"/>
          <w:sz w:val="20"/>
          <w:szCs w:val="20"/>
        </w:rPr>
      </w:pPr>
      <w:r>
        <w:rPr>
          <w:rFonts w:eastAsia="Times New Roman" w:cs="Arial" w:ascii="Verdana" w:hAnsi="Verdana"/>
          <w:b w:val="false"/>
          <w:bCs w:val="false"/>
          <w:color w:val="auto"/>
          <w:kern w:val="0"/>
          <w:sz w:val="20"/>
          <w:szCs w:val="20"/>
          <w:lang w:val="pt-BR" w:eastAsia="zh-CN" w:bidi="ar-SA"/>
        </w:rPr>
        <w:t>15.7 Nos termos da lei 14.133/21 a CONTRATADA é obrigada a reparar, corrigir, remover, reconstruir ou substituir, às suas expensas, no total ou em parte, o objeto do contrato ou instrumento congênere em que se verificarem vícios, defeitos ou incorreções resultantes da execução ou de materiais empregados, devendo realizar a reposição dos produtos que apresentarem defeitos, avarias ou especificação em desacordo com o Termo de Referência durante o prazo de vigência da garantia no prazo máximo de 30 (trinta) dias consecutivos, contado a partir da data da notificação emitida pela CONTRATANTE.</w:t>
      </w:r>
    </w:p>
    <w:p>
      <w:pPr>
        <w:pStyle w:val="ListParagraph"/>
        <w:tabs>
          <w:tab w:val="clear" w:pos="708"/>
          <w:tab w:val="left" w:pos="850" w:leader="none"/>
        </w:tabs>
        <w:spacing w:lineRule="auto" w:line="240" w:before="0" w:after="0"/>
        <w:ind w:hanging="0" w:left="720" w:right="57"/>
        <w:contextualSpacing w:val="false"/>
        <w:jc w:val="both"/>
        <w:rPr>
          <w:rFonts w:ascii="Verdana" w:hAnsi="Verdana"/>
          <w:b/>
          <w:bCs/>
          <w:sz w:val="20"/>
          <w:szCs w:val="20"/>
        </w:rPr>
      </w:pPr>
      <w:r>
        <w:rPr>
          <w:rFonts w:eastAsia="Times New Roman" w:cs="Arial" w:ascii="Verdana" w:hAnsi="Verdana"/>
          <w:b w:val="false"/>
          <w:bCs w:val="false"/>
          <w:color w:val="auto"/>
          <w:kern w:val="0"/>
          <w:sz w:val="20"/>
          <w:szCs w:val="20"/>
          <w:lang w:val="pt-BR" w:eastAsia="zh-CN" w:bidi="ar-SA"/>
        </w:rPr>
        <w:t>15.8 A substituição de equipamentos, peças e componentes ofertados deverá ser efetuada sempre com produto original novo, não recondicionado, recomendado e homologado pelo fabricante.</w:t>
      </w:r>
    </w:p>
    <w:p>
      <w:pPr>
        <w:pStyle w:val="ListParagraph"/>
        <w:tabs>
          <w:tab w:val="clear" w:pos="708"/>
          <w:tab w:val="left" w:pos="850" w:leader="none"/>
        </w:tabs>
        <w:spacing w:lineRule="auto" w:line="240" w:before="0" w:after="0"/>
        <w:ind w:hanging="0" w:left="57" w:right="57"/>
        <w:contextualSpacing w:val="false"/>
        <w:jc w:val="both"/>
        <w:rPr>
          <w:rFonts w:ascii="Verdana" w:hAnsi="Verdana"/>
          <w:bCs/>
          <w:sz w:val="20"/>
          <w:szCs w:val="20"/>
        </w:rPr>
      </w:pPr>
      <w:r>
        <w:rPr>
          <w:rFonts w:ascii="Verdana" w:hAnsi="Verdana"/>
          <w:bCs/>
          <w:sz w:val="20"/>
          <w:szCs w:val="20"/>
        </w:rPr>
      </w:r>
    </w:p>
    <w:p>
      <w:pPr>
        <w:pStyle w:val="Nivel01"/>
        <w:spacing w:before="0" w:after="0"/>
        <w:rPr>
          <w:rFonts w:ascii="Verdana" w:hAnsi="Verdana"/>
        </w:rPr>
      </w:pPr>
      <w:r>
        <w:rPr>
          <w:rFonts w:cs="Arial" w:ascii="Verdana" w:hAnsi="Verdana"/>
        </w:rPr>
        <w:t>16. DO REAJUSTAMENTO EM SENTIDO GERAL</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16.1 Por se tratar de itens a pronta entrega, não será concedido reajuste contratual.</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rPr>
        <w:t>17. DA ACEITAÇÃO DO OBJETO E DA FISCALIZAÇÃO</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lang w:eastAsia="en-US"/>
        </w:rPr>
        <w:t>18. DAS OBRIGAÇÕES DA CONTRATANTE E DA CONTRATADA</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obrigações da Contratante e da Contratada são as estabelecidas no Termo de Referência anexo a este edital.</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Tahoma" w:ascii="Verdana" w:hAnsi="Verdana"/>
          <w:color w:val="auto"/>
        </w:rPr>
        <w:t>19</w:t>
      </w:r>
      <w:r>
        <w:rPr>
          <w:rFonts w:cs="Arial" w:ascii="Verdana" w:hAnsi="Verdana"/>
        </w:rPr>
        <w:t>. DO PAGAMENTO</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b w:val="false"/>
          <w:bCs w:val="false"/>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b w:val="false"/>
          <w:bCs w:val="false"/>
          <w:color w:val="000000"/>
          <w:sz w:val="20"/>
          <w:szCs w:val="20"/>
          <w:lang w:eastAsia="en-US"/>
        </w:rPr>
        <w:t xml:space="preserve">Recebida a Nota Fiscal ou documento de cobrança equivalente, correrá o prazo de </w:t>
      </w:r>
      <w:r>
        <w:rPr>
          <w:rFonts w:eastAsia="Times New Roman" w:cs="Times New Roman" w:ascii="Verdana" w:hAnsi="Verdana"/>
          <w:b w:val="false"/>
          <w:bCs w:val="false"/>
          <w:color w:val="000000"/>
          <w:sz w:val="20"/>
          <w:szCs w:val="20"/>
          <w:lang w:eastAsia="en-US"/>
        </w:rPr>
        <w:t>(30) trinta</w:t>
      </w:r>
      <w:r>
        <w:rPr>
          <w:rFonts w:cs="Arial" w:ascii="Verdana" w:hAnsi="Verdana"/>
          <w:b w:val="false"/>
          <w:bCs w:val="false"/>
          <w:color w:val="000000"/>
          <w:sz w:val="20"/>
          <w:szCs w:val="20"/>
          <w:lang w:eastAsia="en-US"/>
        </w:rPr>
        <w:t xml:space="preserve"> dias úteis para fins de liquidação, na forma desta seção, prorrogáveis por igual período.</w:t>
      </w:r>
    </w:p>
    <w:p>
      <w:pPr>
        <w:pStyle w:val="Normal"/>
        <w:spacing w:lineRule="auto" w:line="240"/>
        <w:ind w:hanging="0" w:left="-22" w:right="0"/>
        <w:jc w:val="both"/>
        <w:rPr/>
      </w:pPr>
      <w:r>
        <w:rPr>
          <w:rFonts w:ascii="Verdana" w:hAnsi="Verdana"/>
          <w:b w:val="false"/>
          <w:bCs w:val="false"/>
          <w:sz w:val="20"/>
          <w:szCs w:val="20"/>
        </w:rPr>
        <w:t xml:space="preserve">19.2.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188"/>
          <w:sz w:val="20"/>
          <w:u w:val="none"/>
          <w:b w:val="false"/>
          <w:szCs w:val="20"/>
          <w:bCs w:val="false"/>
          <w:rFonts w:ascii="Verdana" w:hAnsi="Verdana"/>
          <w:color w:val="000000"/>
        </w:rPr>
        <w:instrText xml:space="preserve"> HYPERLINK "http://www.planalto.gov.br/ccivil_03/_ato2019-2022/2021/lei/L14133.htm" \l "art75"</w:instrText>
      </w:r>
      <w:r>
        <w:rPr>
          <w:rStyle w:val="ListLabel188"/>
          <w:sz w:val="20"/>
          <w:u w:val="none"/>
          <w:b w:val="false"/>
          <w:szCs w:val="20"/>
          <w:bCs w:val="false"/>
          <w:rFonts w:ascii="Verdana" w:hAnsi="Verdana"/>
          <w:color w:val="000000"/>
        </w:rPr>
        <w:fldChar w:fldCharType="separate"/>
      </w:r>
      <w:r>
        <w:rPr>
          <w:rStyle w:val="ListLabel188"/>
          <w:rFonts w:ascii="Verdana" w:hAnsi="Verdana"/>
          <w:b w:val="false"/>
          <w:bCs w:val="false"/>
          <w:color w:val="000000"/>
          <w:sz w:val="20"/>
          <w:szCs w:val="20"/>
          <w:u w:val="none"/>
        </w:rPr>
        <w:t>inciso II do art. 75 da Lei nº 14.133, de 2021</w:t>
      </w:r>
      <w:r>
        <w:rPr>
          <w:rStyle w:val="ListLabel188"/>
          <w:sz w:val="20"/>
          <w:u w:val="none"/>
          <w:b w:val="false"/>
          <w:szCs w:val="20"/>
          <w:bCs w:val="false"/>
          <w:rFonts w:ascii="Verdana" w:hAnsi="Verdana"/>
          <w:color w:val="000000"/>
        </w:rPr>
        <w:fldChar w:fldCharType="end"/>
      </w:r>
      <w:r>
        <w:rPr>
          <w:rFonts w:ascii="Verdana" w:hAnsi="Verdana"/>
          <w:b w:val="false"/>
          <w:bCs w:val="false"/>
          <w:color w:val="000000"/>
          <w:sz w:val="20"/>
          <w:szCs w:val="20"/>
          <w:u w:val="none"/>
        </w:rPr>
        <w:t>.</w:t>
      </w:r>
    </w:p>
    <w:p>
      <w:pPr>
        <w:pStyle w:val="Normal"/>
        <w:spacing w:lineRule="auto" w:line="240"/>
        <w:ind w:hanging="0" w:left="-22" w:right="0"/>
        <w:jc w:val="both"/>
        <w:rPr>
          <w:rFonts w:ascii="Verdana" w:hAnsi="Verdana"/>
          <w:sz w:val="20"/>
          <w:szCs w:val="20"/>
        </w:rPr>
      </w:pPr>
      <w:r>
        <w:rPr>
          <w:rFonts w:ascii="Verdana" w:hAnsi="Verdana"/>
          <w:b w:val="false"/>
          <w:bCs w:val="false"/>
          <w:sz w:val="20"/>
          <w:szCs w:val="20"/>
        </w:rPr>
        <w:t xml:space="preserve">1233.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hanging="0" w:left="432" w:right="0"/>
        <w:jc w:val="both"/>
        <w:rPr>
          <w:rFonts w:ascii="Verdana" w:hAnsi="Verdana"/>
          <w:sz w:val="20"/>
          <w:szCs w:val="20"/>
        </w:rPr>
      </w:pPr>
      <w:r>
        <w:rPr>
          <w:rFonts w:ascii="Verdana" w:hAnsi="Verdana"/>
          <w:b w:val="false"/>
          <w:bCs w:val="false"/>
          <w:sz w:val="20"/>
          <w:szCs w:val="20"/>
        </w:rPr>
        <w:t>- O prazo de validade;</w:t>
      </w:r>
    </w:p>
    <w:p>
      <w:pPr>
        <w:pStyle w:val="Normal"/>
        <w:tabs>
          <w:tab w:val="clear" w:pos="708"/>
          <w:tab w:val="left" w:pos="563" w:leader="none"/>
        </w:tabs>
        <w:spacing w:lineRule="auto" w:line="240"/>
        <w:ind w:hanging="0" w:left="432" w:right="0"/>
        <w:jc w:val="both"/>
        <w:rPr>
          <w:rFonts w:ascii="Verdana" w:hAnsi="Verdana"/>
          <w:sz w:val="20"/>
          <w:szCs w:val="20"/>
        </w:rPr>
      </w:pPr>
      <w:r>
        <w:rPr>
          <w:rFonts w:ascii="Verdana" w:hAnsi="Verdana"/>
          <w:b w:val="false"/>
          <w:bCs w:val="false"/>
          <w:sz w:val="20"/>
          <w:szCs w:val="20"/>
        </w:rPr>
        <w:t xml:space="preserve">- A data da emissão; </w:t>
      </w:r>
    </w:p>
    <w:p>
      <w:pPr>
        <w:pStyle w:val="Normal"/>
        <w:tabs>
          <w:tab w:val="clear" w:pos="708"/>
          <w:tab w:val="left" w:pos="563" w:leader="none"/>
        </w:tabs>
        <w:spacing w:lineRule="auto" w:line="240"/>
        <w:ind w:hanging="0" w:left="432" w:right="0"/>
        <w:jc w:val="both"/>
        <w:rPr>
          <w:rFonts w:ascii="Verdana" w:hAnsi="Verdana"/>
          <w:sz w:val="20"/>
          <w:szCs w:val="20"/>
        </w:rPr>
      </w:pPr>
      <w:r>
        <w:rPr>
          <w:rFonts w:ascii="Verdana" w:hAnsi="Verdana"/>
          <w:b w:val="false"/>
          <w:bCs w:val="false"/>
          <w:sz w:val="20"/>
          <w:szCs w:val="20"/>
        </w:rPr>
        <w:t xml:space="preserve">- Os dados do contrato e do órgão contratante; </w:t>
      </w:r>
    </w:p>
    <w:p>
      <w:pPr>
        <w:pStyle w:val="Normal"/>
        <w:tabs>
          <w:tab w:val="clear" w:pos="708"/>
          <w:tab w:val="left" w:pos="563" w:leader="none"/>
        </w:tabs>
        <w:spacing w:lineRule="auto" w:line="240"/>
        <w:ind w:hanging="0" w:left="432" w:right="0"/>
        <w:jc w:val="both"/>
        <w:rPr>
          <w:rFonts w:ascii="Verdana" w:hAnsi="Verdana"/>
          <w:sz w:val="20"/>
          <w:szCs w:val="20"/>
        </w:rPr>
      </w:pPr>
      <w:r>
        <w:rPr>
          <w:rFonts w:ascii="Verdana" w:hAnsi="Verdana"/>
          <w:b w:val="false"/>
          <w:bCs w:val="false"/>
          <w:sz w:val="20"/>
          <w:szCs w:val="20"/>
        </w:rPr>
        <w:t xml:space="preserve">- O período respectivo de execução do contrato; </w:t>
      </w:r>
    </w:p>
    <w:p>
      <w:pPr>
        <w:pStyle w:val="Normal"/>
        <w:tabs>
          <w:tab w:val="clear" w:pos="708"/>
          <w:tab w:val="left" w:pos="563" w:leader="none"/>
        </w:tabs>
        <w:spacing w:lineRule="auto" w:line="240"/>
        <w:ind w:hanging="0" w:left="432" w:right="0"/>
        <w:jc w:val="both"/>
        <w:rPr>
          <w:rFonts w:ascii="Verdana" w:hAnsi="Verdana"/>
          <w:sz w:val="20"/>
          <w:szCs w:val="20"/>
        </w:rPr>
      </w:pPr>
      <w:r>
        <w:rPr>
          <w:rFonts w:ascii="Verdana" w:hAnsi="Verdana"/>
          <w:b w:val="false"/>
          <w:bCs w:val="false"/>
          <w:sz w:val="20"/>
          <w:szCs w:val="20"/>
        </w:rPr>
        <w:t xml:space="preserve">- O valor a pagar; e </w:t>
      </w:r>
    </w:p>
    <w:p>
      <w:pPr>
        <w:pStyle w:val="Normal"/>
        <w:tabs>
          <w:tab w:val="clear" w:pos="708"/>
          <w:tab w:val="left" w:pos="563" w:leader="none"/>
        </w:tabs>
        <w:spacing w:lineRule="auto" w:line="240"/>
        <w:ind w:hanging="0" w:left="432" w:right="0"/>
        <w:jc w:val="both"/>
        <w:rPr>
          <w:rFonts w:ascii="Verdana" w:hAnsi="Verdana"/>
          <w:sz w:val="20"/>
          <w:szCs w:val="20"/>
        </w:rPr>
      </w:pPr>
      <w:r>
        <w:rPr>
          <w:rFonts w:ascii="Verdana" w:hAnsi="Verdana"/>
          <w:b w:val="false"/>
          <w:bCs w:val="false"/>
          <w:sz w:val="20"/>
          <w:szCs w:val="20"/>
        </w:rPr>
        <w:t>- Eventual destaque do valor de retenções tributárias cabíveis.</w:t>
      </w:r>
    </w:p>
    <w:p>
      <w:pPr>
        <w:pStyle w:val="Normal"/>
        <w:tabs>
          <w:tab w:val="clear" w:pos="708"/>
          <w:tab w:val="left" w:pos="563" w:leader="none"/>
        </w:tabs>
        <w:spacing w:lineRule="auto" w:line="240"/>
        <w:ind w:hanging="0" w:left="-22" w:right="0"/>
        <w:jc w:val="both"/>
        <w:rPr>
          <w:rFonts w:ascii="Verdana" w:hAnsi="Verdana"/>
          <w:sz w:val="20"/>
          <w:szCs w:val="20"/>
        </w:rPr>
      </w:pPr>
      <w:r>
        <w:rPr>
          <w:rFonts w:ascii="Verdana" w:hAnsi="Verdana"/>
          <w:b w:val="false"/>
          <w:bCs w:val="false"/>
          <w:sz w:val="20"/>
          <w:szCs w:val="20"/>
        </w:rPr>
        <w:t>19.3.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ind w:hanging="0" w:left="-22" w:right="0"/>
        <w:jc w:val="both"/>
        <w:rPr/>
      </w:pPr>
      <w:r>
        <w:rPr>
          <w:rFonts w:ascii="Verdana" w:hAnsi="Verdana"/>
          <w:b w:val="false"/>
          <w:bCs w:val="false"/>
          <w:sz w:val="20"/>
          <w:szCs w:val="20"/>
        </w:rPr>
        <w:t>19.4. A</w:t>
      </w:r>
      <w:r>
        <w:rPr>
          <w:rFonts w:ascii="Verdana" w:hAnsi="Verdana"/>
          <w:b w:val="false"/>
          <w:bCs w:val="false"/>
          <w:sz w:val="20"/>
          <w:szCs w:val="20"/>
          <w:lang w:eastAsia="en-US"/>
        </w:rPr>
        <w:t xml:space="preserve"> nota fiscal ou instrumento de cobrança equivalente deverá ser obrigatoriamente acompanhado da comprovação da regularidade fiscal</w:t>
      </w:r>
      <w:r>
        <w:rPr>
          <w:rStyle w:val="InternetLink2"/>
          <w:rFonts w:ascii="Verdana" w:hAnsi="Verdana"/>
          <w:b w:val="false"/>
          <w:bCs w:val="false"/>
          <w:sz w:val="20"/>
          <w:szCs w:val="20"/>
          <w:lang w:eastAsia="en-US"/>
        </w:rPr>
        <w:t>.</w:t>
      </w:r>
    </w:p>
    <w:p>
      <w:pPr>
        <w:pStyle w:val="Normal"/>
        <w:spacing w:lineRule="auto" w:line="240"/>
        <w:ind w:hanging="0" w:left="-22" w:right="0"/>
        <w:jc w:val="both"/>
        <w:rPr>
          <w:rFonts w:ascii="Verdana" w:hAnsi="Verdana"/>
          <w:sz w:val="20"/>
          <w:szCs w:val="20"/>
        </w:rPr>
      </w:pPr>
      <w:r>
        <w:rPr>
          <w:rFonts w:ascii="Verdana" w:hAnsi="Verdana"/>
          <w:b w:val="false"/>
          <w:bCs w:val="false"/>
          <w:sz w:val="20"/>
          <w:szCs w:val="20"/>
        </w:rPr>
        <w:t>19.5. O pagamento será efetuado no prazo de até 30 (trinta) dias úteis contados da finalização da liquidação da despesa.</w:t>
      </w:r>
    </w:p>
    <w:p>
      <w:pPr>
        <w:pStyle w:val="Normal"/>
        <w:spacing w:lineRule="auto" w:line="240"/>
        <w:ind w:hanging="0" w:left="-22" w:right="0"/>
        <w:jc w:val="both"/>
        <w:rPr>
          <w:rFonts w:ascii="Verdana" w:hAnsi="Verdana"/>
          <w:sz w:val="20"/>
          <w:szCs w:val="20"/>
        </w:rPr>
      </w:pPr>
      <w:r>
        <w:rPr>
          <w:rFonts w:ascii="Verdana" w:hAnsi="Verdana"/>
          <w:b w:val="false"/>
          <w:bCs w:val="false"/>
          <w:sz w:val="20"/>
          <w:szCs w:val="20"/>
        </w:rPr>
        <w:t>19.6. O pagamento será realizado por meio de ordem bancária, para crédito em banco, agência e conta corrente indicados pelo contratado.</w:t>
      </w:r>
    </w:p>
    <w:p>
      <w:pPr>
        <w:pStyle w:val="Normal"/>
        <w:spacing w:lineRule="auto" w:line="240"/>
        <w:ind w:hanging="0" w:left="-22" w:right="0"/>
        <w:jc w:val="both"/>
        <w:rPr>
          <w:rFonts w:ascii="Verdana" w:hAnsi="Verdana"/>
          <w:sz w:val="20"/>
          <w:szCs w:val="20"/>
        </w:rPr>
      </w:pPr>
      <w:r>
        <w:rPr>
          <w:rFonts w:ascii="Verdana" w:hAnsi="Verdana"/>
          <w:b w:val="false"/>
          <w:bCs w:val="false"/>
          <w:sz w:val="20"/>
          <w:szCs w:val="20"/>
        </w:rPr>
        <w:t>19.7. Será considerada data do pagamento o dia em que constar como emitida a ordem bancária para pagamento.</w:t>
      </w:r>
    </w:p>
    <w:p>
      <w:pPr>
        <w:pStyle w:val="Normal"/>
        <w:spacing w:lineRule="auto" w:line="240"/>
        <w:ind w:hanging="0" w:left="-79" w:right="0"/>
        <w:jc w:val="both"/>
        <w:rPr>
          <w:rFonts w:ascii="Verdana" w:hAnsi="Verdana"/>
          <w:sz w:val="20"/>
          <w:szCs w:val="20"/>
        </w:rPr>
      </w:pPr>
      <w:r>
        <w:rPr>
          <w:rFonts w:ascii="Verdana" w:hAnsi="Verdana"/>
          <w:b w:val="false"/>
          <w:bCs w:val="false"/>
          <w:sz w:val="20"/>
          <w:szCs w:val="20"/>
        </w:rPr>
        <w:t>13.9. Quando do pagamento, será efetuada a retenção tributária prevista na legislação aplicável.</w:t>
      </w:r>
    </w:p>
    <w:p>
      <w:pPr>
        <w:pStyle w:val="Normal"/>
        <w:spacing w:lineRule="auto" w:line="240"/>
        <w:ind w:hanging="0" w:left="-79" w:right="0"/>
        <w:jc w:val="both"/>
        <w:rPr/>
      </w:pPr>
      <w:r>
        <w:rPr>
          <w:rFonts w:ascii="Verdana" w:hAnsi="Verdana"/>
          <w:b w:val="false"/>
          <w:bCs w:val="false"/>
          <w:sz w:val="20"/>
          <w:szCs w:val="20"/>
          <w:lang w:eastAsia="en-US"/>
        </w:rPr>
        <w:t xml:space="preserve">19.8. O contratado regularmente optante pelo Simples Nacional, nos termos da </w:t>
      </w:r>
      <w:hyperlink r:id="rId9">
        <w:r>
          <w:rPr>
            <w:rStyle w:val="ListLabel189"/>
            <w:rFonts w:ascii="Verdana" w:hAnsi="Verdana"/>
            <w:b w:val="false"/>
            <w:bCs w:val="false"/>
            <w:sz w:val="20"/>
            <w:szCs w:val="20"/>
            <w:u w:val="none"/>
            <w:lang w:eastAsia="en-US"/>
          </w:rPr>
          <w:t>Lei Complementar nº 123, de 2006</w:t>
        </w:r>
      </w:hyperlink>
      <w:r>
        <w:rPr>
          <w:rFonts w:ascii="Verdana" w:hAnsi="Verdana"/>
          <w:b w:val="false"/>
          <w:bCs w:val="false"/>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ind w:hanging="0" w:left="-79" w:right="0"/>
        <w:jc w:val="both"/>
        <w:rPr>
          <w:rFonts w:ascii="Verdana" w:hAnsi="Verdana"/>
          <w:sz w:val="20"/>
          <w:szCs w:val="20"/>
        </w:rPr>
      </w:pPr>
      <w:r>
        <w:rPr>
          <w:rFonts w:ascii="Verdana" w:hAnsi="Verdana"/>
          <w:b w:val="false"/>
          <w:bCs w:val="false"/>
          <w:sz w:val="20"/>
          <w:szCs w:val="20"/>
          <w:lang w:eastAsia="en-US"/>
        </w:rPr>
        <w:t>19.9.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40"/>
        <w:ind w:hanging="0" w:left="-79" w:right="0"/>
        <w:jc w:val="both"/>
        <w:rPr>
          <w:rFonts w:ascii="Verdana" w:hAnsi="Verdana"/>
          <w:sz w:val="20"/>
          <w:szCs w:val="20"/>
        </w:rPr>
      </w:pPr>
      <w:r>
        <w:rPr>
          <w:rFonts w:ascii="Verdana" w:hAnsi="Verdana"/>
          <w:b w:val="false"/>
          <w:bCs w:val="false"/>
          <w:color w:val="000000"/>
          <w:sz w:val="20"/>
          <w:szCs w:val="20"/>
        </w:rPr>
        <w:t xml:space="preserve">19.10. </w:t>
      </w:r>
      <w:r>
        <w:rPr>
          <w:rFonts w:ascii="Verdana" w:hAnsi="Verdana"/>
          <w:b w:val="false"/>
          <w:bCs w:val="false"/>
          <w:sz w:val="20"/>
          <w:szCs w:val="20"/>
        </w:rPr>
        <w:t xml:space="preserve"> Após o pra</w:t>
      </w:r>
      <w:r>
        <w:rPr>
          <w:rFonts w:ascii="Verdana" w:hAnsi="Verdana"/>
          <w:sz w:val="20"/>
          <w:szCs w:val="20"/>
        </w:rPr>
        <w:t>zo acima referenciado, será paga multa financeira nos seguintes termos:</w:t>
      </w:r>
    </w:p>
    <w:p>
      <w:pPr>
        <w:pStyle w:val="PargrafodaLista"/>
        <w:tabs>
          <w:tab w:val="clear" w:pos="708"/>
          <w:tab w:val="left" w:pos="518" w:leader="none"/>
        </w:tabs>
        <w:spacing w:lineRule="auto" w:line="240"/>
        <w:ind w:hanging="0" w:left="0" w:right="0"/>
        <w:jc w:val="center"/>
        <w:rPr>
          <w:rFonts w:ascii="Verdana" w:hAnsi="Verdana"/>
          <w:sz w:val="20"/>
          <w:szCs w:val="20"/>
        </w:rPr>
      </w:pPr>
      <w:r>
        <w:rPr>
          <w:rFonts w:cs="Verdana" w:ascii="Verdana" w:hAnsi="Verdana"/>
          <w:sz w:val="20"/>
          <w:szCs w:val="20"/>
        </w:rPr>
        <w:t xml:space="preserve">VM = VF </w:t>
      </w:r>
      <w:r>
        <w:rPr>
          <w:rFonts w:cs="Verdana" w:ascii="Verdana" w:hAnsi="Verdana"/>
          <w:sz w:val="20"/>
          <w:szCs w:val="20"/>
          <w:vertAlign w:val="subscript"/>
        </w:rPr>
        <w:t>*</w:t>
      </w:r>
      <w:r>
        <w:rPr>
          <w:rFonts w:cs="Verdana" w:ascii="Verdana" w:hAnsi="Verdana"/>
          <w:sz w:val="20"/>
          <w:szCs w:val="20"/>
        </w:rPr>
        <w:t xml:space="preserve"> </w:t>
      </w:r>
      <w:r>
        <w:rPr>
          <w:rFonts w:cs="Verdana" w:ascii="Verdana" w:hAnsi="Verdana"/>
          <w:sz w:val="20"/>
          <w:szCs w:val="20"/>
          <w:u w:val="single"/>
        </w:rPr>
        <w:t>0,33</w:t>
      </w:r>
      <w:r>
        <w:rPr>
          <w:rFonts w:cs="Verdana" w:ascii="Verdana" w:hAnsi="Verdana"/>
          <w:sz w:val="20"/>
          <w:szCs w:val="20"/>
        </w:rPr>
        <w:t xml:space="preserve"> </w:t>
      </w:r>
      <w:r>
        <w:rPr>
          <w:rFonts w:cs="Verdana" w:ascii="Verdana" w:hAnsi="Verdana"/>
          <w:sz w:val="20"/>
          <w:szCs w:val="20"/>
          <w:vertAlign w:val="subscript"/>
        </w:rPr>
        <w:t>*</w:t>
      </w:r>
      <w:r>
        <w:rPr>
          <w:rFonts w:cs="Verdana" w:ascii="Verdana" w:hAnsi="Verdana"/>
          <w:sz w:val="20"/>
          <w:szCs w:val="20"/>
        </w:rPr>
        <w:t xml:space="preserve"> ND</w:t>
      </w:r>
    </w:p>
    <w:p>
      <w:pPr>
        <w:pStyle w:val="PargrafodaLista"/>
        <w:tabs>
          <w:tab w:val="clear" w:pos="708"/>
          <w:tab w:val="left" w:pos="518" w:leader="none"/>
        </w:tabs>
        <w:spacing w:lineRule="auto" w:line="240"/>
        <w:ind w:hanging="0" w:left="0" w:right="0"/>
        <w:jc w:val="center"/>
        <w:rPr>
          <w:rFonts w:ascii="Verdana" w:hAnsi="Verdana"/>
          <w:sz w:val="20"/>
          <w:szCs w:val="20"/>
        </w:rPr>
      </w:pPr>
      <w:r>
        <w:rPr>
          <w:rFonts w:eastAsia="Verdana" w:cs="Verdana" w:ascii="Verdana" w:hAnsi="Verdana"/>
          <w:sz w:val="20"/>
          <w:szCs w:val="20"/>
        </w:rPr>
        <w:t xml:space="preserve">        </w:t>
      </w:r>
      <w:r>
        <w:rPr>
          <w:rFonts w:cs="Verdana" w:ascii="Verdana" w:hAnsi="Verdana"/>
          <w:sz w:val="20"/>
          <w:szCs w:val="20"/>
        </w:rPr>
        <w:t>100</w:t>
      </w:r>
    </w:p>
    <w:p>
      <w:pPr>
        <w:pStyle w:val="Normal"/>
        <w:suppressAutoHyphens w:val="false"/>
        <w:spacing w:lineRule="auto" w:line="240"/>
        <w:rPr>
          <w:rFonts w:ascii="Verdana" w:hAnsi="Verdana"/>
          <w:sz w:val="20"/>
          <w:szCs w:val="20"/>
        </w:rPr>
      </w:pPr>
      <w:r>
        <w:rPr>
          <w:rFonts w:cs="Arial" w:ascii="Verdana" w:hAnsi="Verdana"/>
          <w:color w:val="000000"/>
          <w:sz w:val="20"/>
          <w:szCs w:val="20"/>
        </w:rPr>
        <w:t xml:space="preserve">Onde: </w:t>
      </w:r>
    </w:p>
    <w:p>
      <w:pPr>
        <w:pStyle w:val="Normal"/>
        <w:suppressAutoHyphens w:val="false"/>
        <w:spacing w:lineRule="auto" w:line="240"/>
        <w:rPr>
          <w:rFonts w:ascii="Verdana" w:hAnsi="Verdana"/>
          <w:sz w:val="20"/>
          <w:szCs w:val="20"/>
        </w:rPr>
      </w:pPr>
      <w:r>
        <w:rPr>
          <w:rFonts w:cs="Arial" w:ascii="Verdana" w:hAnsi="Verdana"/>
          <w:color w:val="000000"/>
          <w:sz w:val="20"/>
          <w:szCs w:val="20"/>
        </w:rPr>
        <w:t xml:space="preserve">VM = Valor da Multa Financeira; </w:t>
      </w:r>
    </w:p>
    <w:p>
      <w:pPr>
        <w:pStyle w:val="Normal"/>
        <w:suppressAutoHyphens w:val="false"/>
        <w:spacing w:lineRule="auto" w:line="240"/>
        <w:rPr>
          <w:rFonts w:ascii="Verdana" w:hAnsi="Verdana"/>
          <w:sz w:val="20"/>
          <w:szCs w:val="20"/>
        </w:rPr>
      </w:pPr>
      <w:r>
        <w:rPr>
          <w:rFonts w:cs="Arial" w:ascii="Verdana" w:hAnsi="Verdana"/>
          <w:color w:val="000000"/>
          <w:sz w:val="20"/>
          <w:szCs w:val="20"/>
        </w:rPr>
        <w:t xml:space="preserve">VF = Valor da Nota Fiscal; </w:t>
      </w:r>
    </w:p>
    <w:p>
      <w:pPr>
        <w:pStyle w:val="PargrafodaLista"/>
        <w:tabs>
          <w:tab w:val="clear" w:pos="708"/>
          <w:tab w:val="left" w:pos="518" w:leader="none"/>
        </w:tabs>
        <w:spacing w:lineRule="auto" w:line="240"/>
        <w:ind w:hanging="0" w:left="0" w:right="0"/>
        <w:rPr>
          <w:rFonts w:ascii="Verdana" w:hAnsi="Verdana"/>
          <w:sz w:val="20"/>
          <w:szCs w:val="20"/>
        </w:rPr>
      </w:pPr>
      <w:r>
        <w:rPr>
          <w:rFonts w:eastAsia="Times New Roman" w:cs="Arial" w:ascii="Verdana" w:hAnsi="Verdana"/>
          <w:color w:val="000000"/>
          <w:sz w:val="20"/>
          <w:szCs w:val="20"/>
        </w:rPr>
        <w:t>ND = Número de dias em atraso.</w:t>
      </w:r>
    </w:p>
    <w:p>
      <w:pPr>
        <w:pStyle w:val="Normal"/>
        <w:suppressAutoHyphens w:val="false"/>
        <w:spacing w:lineRule="auto" w:line="240"/>
        <w:jc w:val="both"/>
        <w:rPr>
          <w:rFonts w:ascii="Verdana" w:hAnsi="Verdana"/>
          <w:sz w:val="20"/>
          <w:szCs w:val="20"/>
        </w:rPr>
      </w:pPr>
      <w:r>
        <w:rPr>
          <w:rFonts w:eastAsia="Times New Roman" w:cs="Arial" w:ascii="Verdana" w:hAnsi="Verdana"/>
          <w:b w:val="false"/>
          <w:bCs w:val="false"/>
          <w:color w:val="000000"/>
          <w:sz w:val="20"/>
          <w:szCs w:val="20"/>
          <w:u w:val="none"/>
        </w:rPr>
        <w:t xml:space="preserve">19.11. </w:t>
      </w:r>
      <w:r>
        <w:rPr>
          <w:rFonts w:cs="Arial" w:ascii="Verdana" w:hAnsi="Verdana"/>
          <w:b w:val="false"/>
          <w:bCs w:val="false"/>
          <w:color w:val="000000"/>
          <w:sz w:val="20"/>
          <w:szCs w:val="20"/>
          <w:u w:val="none"/>
        </w:rPr>
        <w:t>A NOTA FISCAL ELETRÔNICA deverá conter o mesmo CNPJ e razão social apresentados quando na proposta, assim como, o número da contratação, o (s) objeto (s), os valores unitários e totais.</w:t>
      </w:r>
    </w:p>
    <w:p>
      <w:pPr>
        <w:pStyle w:val="Normal"/>
        <w:suppressAutoHyphens w:val="false"/>
        <w:spacing w:lineRule="auto" w:line="240"/>
        <w:jc w:val="both"/>
        <w:rPr>
          <w:rFonts w:ascii="Verdana" w:hAnsi="Verdana"/>
          <w:sz w:val="20"/>
          <w:szCs w:val="20"/>
        </w:rPr>
      </w:pPr>
      <w:r>
        <w:rPr>
          <w:rFonts w:eastAsia="Times New Roman" w:cs="Arial" w:ascii="Verdana" w:hAnsi="Verdana"/>
          <w:b w:val="false"/>
          <w:bCs w:val="false"/>
          <w:color w:val="000000"/>
          <w:sz w:val="20"/>
          <w:szCs w:val="20"/>
          <w:u w:val="none"/>
        </w:rPr>
        <w:t>19.12.</w:t>
      </w:r>
      <w:r>
        <w:rPr>
          <w:rFonts w:cs="Arial" w:ascii="Verdana" w:hAnsi="Verdana"/>
          <w:b w:val="false"/>
          <w:bCs w:val="false"/>
          <w:color w:val="000000"/>
          <w:sz w:val="20"/>
          <w:szCs w:val="20"/>
          <w:u w:val="none"/>
        </w:rPr>
        <w:t xml:space="preserve">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240"/>
        <w:jc w:val="both"/>
        <w:rPr>
          <w:rFonts w:ascii="Verdana" w:hAnsi="Verdana"/>
          <w:sz w:val="20"/>
          <w:szCs w:val="20"/>
        </w:rPr>
      </w:pPr>
      <w:r>
        <w:rPr>
          <w:rFonts w:eastAsia="Times New Roman" w:cs="Arial" w:ascii="Verdana" w:hAnsi="Verdana"/>
          <w:b w:val="false"/>
          <w:bCs w:val="false"/>
          <w:color w:val="000000"/>
          <w:sz w:val="20"/>
          <w:szCs w:val="20"/>
          <w:u w:val="none"/>
        </w:rPr>
        <w:t xml:space="preserve">19.13. </w:t>
      </w:r>
      <w:r>
        <w:rPr>
          <w:rFonts w:cs="Arial" w:ascii="Verdana" w:hAnsi="Verdana"/>
          <w:b w:val="false"/>
          <w:bCs w:val="false"/>
          <w:color w:val="000000"/>
          <w:sz w:val="20"/>
          <w:szCs w:val="20"/>
          <w:u w:val="none"/>
        </w:rPr>
        <w:t>O CONTRATANTE poderá deduzir do pagamento importâncias que a qualquer título lhe forem devidos pela empresa CONTRATADA, em decorrência de descumprimento de suas obrigações.</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b w:val="false"/>
          <w:bCs w:val="false"/>
          <w:color w:val="000000"/>
          <w:sz w:val="20"/>
          <w:szCs w:val="20"/>
          <w:u w:val="none"/>
          <w:lang w:eastAsia="en-US"/>
        </w:rPr>
        <w:t xml:space="preserve">19.14. Para a efetivação do pagamento, a CONTRATADA deverá manter as mesmas </w:t>
      </w:r>
      <w:r>
        <w:rPr>
          <w:rFonts w:cs="Arial" w:ascii="Verdana" w:hAnsi="Verdana"/>
          <w:b w:val="false"/>
          <w:bCs w:val="false"/>
          <w:color w:val="000000"/>
          <w:sz w:val="20"/>
          <w:szCs w:val="20"/>
          <w:u w:val="none"/>
          <w:lang w:eastAsia="pt-BR"/>
        </w:rPr>
        <w:t>condições relativas à proposta de preço e a habilitação.</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20. DAS SANÇÕES ADMINISTRATIVAS.</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20.1.1 D</w:t>
      </w:r>
      <w:bookmarkStart w:id="14"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4"/>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 xml:space="preserve">20.1.2 </w:t>
      </w:r>
      <w:bookmarkStart w:id="15" w:name="_Ref114668108"/>
      <w:r>
        <w:rPr>
          <w:rFonts w:cs="Arial" w:ascii="Verdana" w:hAnsi="Verdana"/>
          <w:sz w:val="20"/>
          <w:szCs w:val="20"/>
          <w:shd w:fill="FFFFFF" w:val="clear"/>
        </w:rPr>
        <w:t>Salvo em decorrência de fato superveniente devidamente justificado, não mantiver a proposta em especial quando:</w:t>
      </w:r>
      <w:bookmarkEnd w:id="15"/>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before="57" w:after="57"/>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before="57" w:after="57"/>
        <w:jc w:val="both"/>
        <w:rPr>
          <w:rFonts w:ascii="Verdana" w:hAnsi="Verdana"/>
          <w:sz w:val="20"/>
          <w:szCs w:val="20"/>
        </w:rPr>
      </w:pPr>
      <w:r>
        <w:rPr>
          <w:rFonts w:ascii="Verdana" w:hAnsi="Verdana"/>
          <w:sz w:val="20"/>
          <w:szCs w:val="20"/>
        </w:rPr>
        <w:t>20.1.4 A</w:t>
      </w:r>
      <w:bookmarkStart w:id="16" w:name="_Ref114668249"/>
      <w:r>
        <w:rPr>
          <w:rFonts w:ascii="Verdana" w:hAnsi="Verdana"/>
          <w:sz w:val="20"/>
          <w:szCs w:val="20"/>
        </w:rPr>
        <w:t>presentar declaração ou documentação falsa exigida para o certame ou prestar declaração falsa durante a licitação</w:t>
      </w:r>
      <w:bookmarkEnd w:id="16"/>
    </w:p>
    <w:p>
      <w:pPr>
        <w:pStyle w:val="Normal"/>
        <w:spacing w:before="57" w:after="57"/>
        <w:jc w:val="both"/>
        <w:rPr>
          <w:rFonts w:ascii="Verdana" w:hAnsi="Verdana"/>
          <w:sz w:val="20"/>
          <w:szCs w:val="20"/>
        </w:rPr>
      </w:pPr>
      <w:r>
        <w:rPr>
          <w:rFonts w:ascii="Verdana" w:hAnsi="Verdana"/>
          <w:sz w:val="20"/>
          <w:szCs w:val="20"/>
        </w:rPr>
        <w:t>20.1.5 F</w:t>
      </w:r>
      <w:bookmarkStart w:id="17" w:name="_Ref114668245"/>
      <w:r>
        <w:rPr>
          <w:rFonts w:ascii="Verdana" w:hAnsi="Verdana"/>
          <w:sz w:val="20"/>
          <w:szCs w:val="20"/>
        </w:rPr>
        <w:t>raudar a licitação</w:t>
      </w:r>
      <w:bookmarkEnd w:id="17"/>
    </w:p>
    <w:p>
      <w:pPr>
        <w:pStyle w:val="Normal"/>
        <w:spacing w:before="57" w:after="57"/>
        <w:jc w:val="both"/>
        <w:rPr>
          <w:rFonts w:ascii="Verdana" w:hAnsi="Verdana"/>
          <w:sz w:val="20"/>
          <w:szCs w:val="20"/>
        </w:rPr>
      </w:pPr>
      <w:r>
        <w:rPr>
          <w:rFonts w:ascii="Verdana" w:hAnsi="Verdana"/>
          <w:sz w:val="20"/>
          <w:szCs w:val="20"/>
        </w:rPr>
        <w:t>20.1.6 C</w:t>
      </w:r>
      <w:bookmarkStart w:id="18" w:name="_Ref114668247"/>
      <w:r>
        <w:rPr>
          <w:rFonts w:ascii="Verdana" w:hAnsi="Verdana"/>
          <w:sz w:val="20"/>
          <w:szCs w:val="20"/>
        </w:rPr>
        <w:t>omportar-se de modo inidôneo ou cometer fraude de qualquer natureza, em especial quando:</w:t>
      </w:r>
      <w:bookmarkEnd w:id="18"/>
    </w:p>
    <w:p>
      <w:pPr>
        <w:pStyle w:val="Normal"/>
        <w:spacing w:before="57" w:after="57"/>
        <w:jc w:val="both"/>
        <w:rPr>
          <w:rFonts w:ascii="Verdana" w:hAnsi="Verdana"/>
          <w:sz w:val="20"/>
          <w:szCs w:val="20"/>
        </w:rPr>
      </w:pPr>
      <w:r>
        <w:rPr>
          <w:rFonts w:ascii="Verdana" w:hAnsi="Verdana"/>
          <w:sz w:val="20"/>
          <w:szCs w:val="20"/>
        </w:rPr>
        <w:t>20.1.6.1 Agir em conluio ou em desconformidade com a lei;</w:t>
      </w:r>
    </w:p>
    <w:p>
      <w:pPr>
        <w:pStyle w:val="Normal"/>
        <w:spacing w:before="57" w:after="57"/>
        <w:jc w:val="both"/>
        <w:rPr>
          <w:rFonts w:ascii="Verdana" w:hAnsi="Verdana"/>
          <w:sz w:val="20"/>
          <w:szCs w:val="20"/>
        </w:rPr>
      </w:pPr>
      <w:r>
        <w:rPr>
          <w:rFonts w:ascii="Verdana" w:hAnsi="Verdana"/>
          <w:sz w:val="20"/>
          <w:szCs w:val="20"/>
        </w:rPr>
        <w:t>20.1.6.2 Induzir deliberadamente a erro no julgamento;</w:t>
      </w:r>
    </w:p>
    <w:p>
      <w:pPr>
        <w:pStyle w:val="Normal"/>
        <w:spacing w:before="57" w:after="57"/>
        <w:jc w:val="both"/>
        <w:rPr>
          <w:rFonts w:ascii="Verdana" w:hAnsi="Verdana"/>
          <w:sz w:val="20"/>
          <w:szCs w:val="20"/>
        </w:rPr>
      </w:pPr>
      <w:r>
        <w:rPr>
          <w:rFonts w:ascii="Verdana" w:hAnsi="Verdana"/>
          <w:sz w:val="20"/>
          <w:szCs w:val="20"/>
        </w:rPr>
        <w:t>20.1.6.3 Apresentar amostra falsificada ou deteriorada;</w:t>
      </w:r>
    </w:p>
    <w:p>
      <w:pPr>
        <w:pStyle w:val="Normal"/>
        <w:spacing w:before="57" w:after="57"/>
        <w:jc w:val="both"/>
        <w:rPr>
          <w:rFonts w:ascii="Verdana" w:hAnsi="Verdana"/>
          <w:sz w:val="20"/>
          <w:szCs w:val="20"/>
        </w:rPr>
      </w:pPr>
      <w:r>
        <w:rPr>
          <w:rFonts w:ascii="Verdana" w:hAnsi="Verdana"/>
          <w:sz w:val="20"/>
          <w:szCs w:val="20"/>
        </w:rPr>
        <w:t>20.1.7 P</w:t>
      </w:r>
      <w:bookmarkStart w:id="19" w:name="_Ref114668251"/>
      <w:r>
        <w:rPr>
          <w:rFonts w:ascii="Verdana" w:hAnsi="Verdana"/>
          <w:sz w:val="20"/>
          <w:szCs w:val="20"/>
        </w:rPr>
        <w:t>raticar atos ilícitos com vistas a frustrar os objetivos da licitação</w:t>
      </w:r>
      <w:bookmarkEnd w:id="19"/>
    </w:p>
    <w:p>
      <w:pPr>
        <w:pStyle w:val="Normal"/>
        <w:spacing w:before="57" w:after="57"/>
        <w:jc w:val="both"/>
        <w:rPr/>
      </w:pPr>
      <w:r>
        <w:rPr>
          <w:rFonts w:ascii="Verdana" w:hAnsi="Verdana"/>
          <w:sz w:val="20"/>
          <w:szCs w:val="20"/>
        </w:rPr>
        <w:t>20.1.8 P</w:t>
      </w:r>
      <w:bookmarkStart w:id="20" w:name="_Ref114668252"/>
      <w:r>
        <w:rPr>
          <w:rFonts w:ascii="Verdana" w:hAnsi="Verdana"/>
          <w:sz w:val="20"/>
          <w:szCs w:val="20"/>
        </w:rPr>
        <w:t xml:space="preserve">raticar ato lesivo previsto no </w:t>
      </w:r>
      <w:r>
        <w:fldChar w:fldCharType="begin"/>
      </w:r>
      <w:r>
        <w:rPr>
          <w:rStyle w:val="ListLabel190"/>
          <w:sz w:val="20"/>
          <w:szCs w:val="20"/>
          <w:rFonts w:ascii="Verdana" w:hAnsi="Verdana"/>
          <w:color w:val="000000"/>
        </w:rPr>
        <w:instrText xml:space="preserve"> HYPERLINK "https://www.planalto.gov.br/ccivil_03/_ato2011-2014/2013/lei/l12846.htm" \l "art5"</w:instrText>
      </w:r>
      <w:r>
        <w:rPr>
          <w:rStyle w:val="ListLabel190"/>
          <w:sz w:val="20"/>
          <w:szCs w:val="20"/>
          <w:rFonts w:ascii="Verdana" w:hAnsi="Verdana"/>
          <w:color w:val="000000"/>
        </w:rPr>
        <w:fldChar w:fldCharType="separate"/>
      </w:r>
      <w:r>
        <w:rPr>
          <w:rStyle w:val="ListLabel190"/>
          <w:rFonts w:ascii="Verdana" w:hAnsi="Verdana"/>
          <w:color w:val="000000"/>
          <w:sz w:val="20"/>
          <w:szCs w:val="20"/>
        </w:rPr>
        <w:t>art. 5º da Lei n.º 12.846, de 2013</w:t>
      </w:r>
      <w:r>
        <w:rPr>
          <w:rStyle w:val="ListLabel190"/>
          <w:sz w:val="20"/>
          <w:szCs w:val="20"/>
          <w:rFonts w:ascii="Verdana" w:hAnsi="Verdana"/>
          <w:color w:val="000000"/>
        </w:rPr>
        <w:fldChar w:fldCharType="end"/>
      </w:r>
      <w:r>
        <w:rPr>
          <w:rFonts w:ascii="Verdana" w:hAnsi="Verdana"/>
          <w:sz w:val="20"/>
          <w:szCs w:val="20"/>
        </w:rPr>
        <w:t>.</w:t>
      </w:r>
      <w:bookmarkEnd w:id="20"/>
    </w:p>
    <w:p>
      <w:pPr>
        <w:pStyle w:val="Nivel2"/>
        <w:numPr>
          <w:ilvl w:val="0"/>
          <w:numId w:val="0"/>
        </w:numPr>
        <w:spacing w:lineRule="auto" w:line="240"/>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ind w:hanging="0" w:left="0"/>
        <w:rPr>
          <w:rFonts w:ascii="Verdana" w:hAnsi="Verdana"/>
        </w:rPr>
      </w:pPr>
      <w:r>
        <w:rPr>
          <w:rFonts w:ascii="Verdana" w:hAnsi="Verdana"/>
        </w:rPr>
        <w:t>20.2.1 advertência;</w:t>
      </w:r>
    </w:p>
    <w:p>
      <w:pPr>
        <w:pStyle w:val="Nivel2"/>
        <w:numPr>
          <w:ilvl w:val="0"/>
          <w:numId w:val="0"/>
        </w:numPr>
        <w:spacing w:lineRule="auto" w:line="240"/>
        <w:ind w:hanging="0" w:left="0"/>
        <w:rPr>
          <w:rFonts w:ascii="Verdana" w:hAnsi="Verdana"/>
        </w:rPr>
      </w:pPr>
      <w:r>
        <w:rPr>
          <w:rFonts w:ascii="Verdana" w:hAnsi="Verdana"/>
        </w:rPr>
        <w:t>20.2.2 multa;</w:t>
      </w:r>
    </w:p>
    <w:p>
      <w:pPr>
        <w:pStyle w:val="Nivel2"/>
        <w:numPr>
          <w:ilvl w:val="0"/>
          <w:numId w:val="0"/>
        </w:numPr>
        <w:spacing w:lineRule="auto" w:line="240"/>
        <w:ind w:hanging="0" w:left="0"/>
        <w:rPr>
          <w:rFonts w:ascii="Verdana" w:hAnsi="Verdana"/>
        </w:rPr>
      </w:pPr>
      <w:r>
        <w:rPr>
          <w:rFonts w:ascii="Verdana" w:hAnsi="Verdana"/>
        </w:rPr>
        <w:t>20.2.3 impedimento de licitar e contratar e</w:t>
      </w:r>
    </w:p>
    <w:p>
      <w:pPr>
        <w:pStyle w:val="Nivel2"/>
        <w:numPr>
          <w:ilvl w:val="0"/>
          <w:numId w:val="0"/>
        </w:numPr>
        <w:spacing w:lineRule="auto" w:line="240"/>
        <w:ind w:hanging="0" w:left="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ind w:hanging="0" w:left="0"/>
        <w:rPr>
          <w:rFonts w:ascii="Verdana" w:hAnsi="Verdana"/>
        </w:rPr>
      </w:pPr>
      <w:r>
        <w:rPr>
          <w:rFonts w:ascii="Verdana" w:hAnsi="Verdana"/>
        </w:rPr>
        <w:t>20.3 Na aplicação das sanções serão considerados:</w:t>
      </w:r>
    </w:p>
    <w:p>
      <w:pPr>
        <w:pStyle w:val="Nivel2"/>
        <w:numPr>
          <w:ilvl w:val="0"/>
          <w:numId w:val="0"/>
        </w:numPr>
        <w:spacing w:lineRule="auto" w:line="240"/>
        <w:ind w:hanging="0" w:left="0"/>
        <w:rPr>
          <w:rFonts w:ascii="Verdana" w:hAnsi="Verdana"/>
        </w:rPr>
      </w:pPr>
      <w:r>
        <w:rPr>
          <w:rFonts w:ascii="Verdana" w:hAnsi="Verdana"/>
        </w:rPr>
        <w:t>20.3.1 a natureza e a gravidade da infração cometida.</w:t>
      </w:r>
    </w:p>
    <w:p>
      <w:pPr>
        <w:pStyle w:val="Nivel2"/>
        <w:numPr>
          <w:ilvl w:val="0"/>
          <w:numId w:val="0"/>
        </w:numPr>
        <w:spacing w:lineRule="auto" w:line="240"/>
        <w:ind w:hanging="0" w:left="0"/>
        <w:rPr>
          <w:rFonts w:ascii="Verdana" w:hAnsi="Verdana"/>
        </w:rPr>
      </w:pPr>
      <w:r>
        <w:rPr>
          <w:rFonts w:ascii="Verdana" w:hAnsi="Verdana"/>
        </w:rPr>
        <w:t>20.3.2 as peculiaridades do caso concreto</w:t>
      </w:r>
    </w:p>
    <w:p>
      <w:pPr>
        <w:pStyle w:val="Nivel2"/>
        <w:numPr>
          <w:ilvl w:val="0"/>
          <w:numId w:val="0"/>
        </w:numPr>
        <w:spacing w:lineRule="auto" w:line="240"/>
        <w:ind w:hanging="0" w:left="0"/>
        <w:rPr>
          <w:rFonts w:ascii="Verdana" w:hAnsi="Verdana"/>
        </w:rPr>
      </w:pPr>
      <w:r>
        <w:rPr>
          <w:rFonts w:ascii="Verdana" w:hAnsi="Verdana"/>
        </w:rPr>
        <w:t>20.3.3 as circunstâncias agravantes ou atenuantes</w:t>
      </w:r>
    </w:p>
    <w:p>
      <w:pPr>
        <w:pStyle w:val="Nivel2"/>
        <w:numPr>
          <w:ilvl w:val="0"/>
          <w:numId w:val="0"/>
        </w:numPr>
        <w:spacing w:lineRule="auto" w:line="240"/>
        <w:ind w:hanging="0" w:left="0"/>
        <w:rPr>
          <w:rFonts w:ascii="Verdana" w:hAnsi="Verdana"/>
        </w:rPr>
      </w:pPr>
      <w:r>
        <w:rPr>
          <w:rFonts w:ascii="Verdana" w:hAnsi="Verdana"/>
        </w:rPr>
        <w:t>20.3.4 os danos que dela provierem para a Administração Pública</w:t>
      </w:r>
    </w:p>
    <w:p>
      <w:pPr>
        <w:pStyle w:val="Nivel2"/>
        <w:numPr>
          <w:ilvl w:val="0"/>
          <w:numId w:val="0"/>
        </w:numPr>
        <w:spacing w:lineRule="auto" w:line="240"/>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spacing w:lineRule="auto" w:line="240"/>
        <w:ind w:hanging="0" w:left="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ind w:hanging="0" w:left="0"/>
        <w:rPr>
          <w:rFonts w:ascii="Verdana" w:hAnsi="Verdana"/>
        </w:rPr>
      </w:pPr>
      <w:r>
        <w:rPr>
          <w:rFonts w:ascii="Verdana" w:hAnsi="Verdana"/>
        </w:rPr>
        <w:t xml:space="preserve">20.4.1 </w:t>
      </w:r>
      <w:bookmarkStart w:id="21" w:name="_Hlk113876035_Copia_1"/>
      <w:bookmarkStart w:id="22" w:name="_Hlk113876035"/>
      <w:r>
        <w:rPr>
          <w:rFonts w:ascii="Verdana" w:hAnsi="Verdana"/>
        </w:rPr>
        <w:t>Para as infrações previstas nos itens 20.1.1, 20.1.2 e 20.1.3, a multa será de 5% do valor do contrato licitado.</w:t>
      </w:r>
      <w:bookmarkEnd w:id="21"/>
      <w:bookmarkEnd w:id="22"/>
    </w:p>
    <w:p>
      <w:pPr>
        <w:pStyle w:val="Nivel2"/>
        <w:numPr>
          <w:ilvl w:val="0"/>
          <w:numId w:val="0"/>
        </w:numPr>
        <w:spacing w:lineRule="auto" w:line="240"/>
        <w:ind w:hanging="0" w:left="0"/>
        <w:rPr>
          <w:rFonts w:ascii="Verdana" w:hAnsi="Verdana"/>
        </w:rPr>
      </w:pPr>
      <w:r>
        <w:rPr>
          <w:rFonts w:ascii="Verdana" w:hAnsi="Verdana"/>
        </w:rPr>
        <w:t>20.4.2 Para as infrações previstas nos itens 20.1.4, 20.1.5, 20.1.6, 20.1.7 e 20.1.8, a multa será de 15% do valor do contrato licitado.</w:t>
      </w:r>
    </w:p>
    <w:p>
      <w:pPr>
        <w:pStyle w:val="Nivel2"/>
        <w:numPr>
          <w:ilvl w:val="0"/>
          <w:numId w:val="0"/>
        </w:numPr>
        <w:spacing w:lineRule="auto" w:line="240"/>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lineRule="auto" w:line="240"/>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191"/>
          <w:rFonts w:ascii="Verdana" w:hAnsi="Verdana"/>
          <w:color w:val="000000"/>
        </w:rPr>
        <w:instrText xml:space="preserve"> HYPERLINK "http://www.planalto.gov.br/ccivil_03/_ato2019-2022/2021/lei/L14133.htm" \l "art156%C2%A75"</w:instrText>
      </w:r>
      <w:r>
        <w:rPr>
          <w:rStyle w:val="ListLabel191"/>
          <w:rFonts w:ascii="Verdana" w:hAnsi="Verdana"/>
          <w:color w:val="000000"/>
        </w:rPr>
        <w:fldChar w:fldCharType="separate"/>
      </w:r>
      <w:r>
        <w:rPr>
          <w:rStyle w:val="ListLabel191"/>
          <w:rFonts w:ascii="Verdana" w:hAnsi="Verdana"/>
          <w:color w:val="000000"/>
        </w:rPr>
        <w:t>art. 156, §5º, da Lei n.º 14.133/2021</w:t>
      </w:r>
      <w:r>
        <w:rPr>
          <w:rStyle w:val="ListLabel191"/>
          <w:rFonts w:ascii="Verdana" w:hAnsi="Verdana"/>
          <w:color w:val="000000"/>
        </w:rPr>
        <w:fldChar w:fldCharType="end"/>
      </w:r>
      <w:r>
        <w:rPr>
          <w:rFonts w:ascii="Verdana" w:hAnsi="Verdana"/>
        </w:rPr>
        <w:t>.</w:t>
      </w:r>
    </w:p>
    <w:p>
      <w:pPr>
        <w:pStyle w:val="Nivel2"/>
        <w:numPr>
          <w:ilvl w:val="0"/>
          <w:numId w:val="0"/>
        </w:numPr>
        <w:spacing w:lineRule="auto" w:line="240"/>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0">
        <w:r>
          <w:rPr>
            <w:rStyle w:val="ListLabel191"/>
            <w:rFonts w:ascii="Verdana" w:hAnsi="Verdana"/>
            <w:color w:val="000000"/>
          </w:rPr>
          <w:t>art. 45, §4º da IN SEGES/ME n.º 73, de 2022</w:t>
        </w:r>
      </w:hyperlink>
      <w:r>
        <w:rPr>
          <w:rFonts w:ascii="Verdana" w:hAnsi="Verdana"/>
        </w:rPr>
        <w:t xml:space="preserve">. </w:t>
      </w:r>
    </w:p>
    <w:p>
      <w:pPr>
        <w:pStyle w:val="Nivel2"/>
        <w:numPr>
          <w:ilvl w:val="0"/>
          <w:numId w:val="0"/>
        </w:numPr>
        <w:spacing w:lineRule="auto" w:line="240"/>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lineRule="auto" w:line="240"/>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40" w:before="57" w:after="57"/>
        <w:ind w:hanging="0"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before="57" w:after="57"/>
        <w:rPr>
          <w:rFonts w:ascii="Verdana" w:hAnsi="Verdana"/>
        </w:rPr>
      </w:pPr>
      <w:r>
        <w:rPr>
          <w:rFonts w:cs="Arial" w:ascii="Verdana" w:hAnsi="Verdana"/>
        </w:rPr>
        <w:t>21. DA IMPUGNAÇÃO AO EDITAL E DO PEDIDO DE ESCLARECIMENTO</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hanging="0" w:left="0"/>
        <w:contextualSpacing w:val="false"/>
        <w:jc w:val="both"/>
        <w:rPr/>
      </w:pPr>
      <w:r>
        <w:rPr>
          <w:rFonts w:cs="Arial" w:ascii="Verdana" w:hAnsi="Verdana"/>
          <w:color w:val="000000"/>
          <w:sz w:val="20"/>
          <w:szCs w:val="20"/>
        </w:rPr>
        <w:t xml:space="preserve">21.2 A impugnação poderá ser realizada por forma eletrônica, pelo e-mail </w:t>
      </w:r>
      <w:hyperlink r:id="rId11">
        <w:r>
          <w:rPr>
            <w:rStyle w:val="ListLabel192"/>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40" w:before="57" w:after="57"/>
        <w:ind w:hanging="0" w:left="0"/>
        <w:contextualSpacing w:val="false"/>
        <w:jc w:val="both"/>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rPr>
        <w:t>22. DAS DISPOSIÇÕES GERAIS</w:t>
      </w:r>
    </w:p>
    <w:p>
      <w:pPr>
        <w:pStyle w:val="Normal"/>
        <w:spacing w:before="57" w:after="57"/>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before="57" w:after="57"/>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before="57" w:after="57"/>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before="57" w:after="57"/>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before="57" w:after="57"/>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before="57" w:after="57"/>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before="57" w:after="57"/>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before="57" w:after="57"/>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before="57" w:after="57"/>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before="57" w:after="57"/>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3" w:name="_Hlk123138684_Copia_3"/>
      <w:r>
        <w:rPr>
          <w:rFonts w:cs="Arial" w:ascii="Verdana" w:hAnsi="Verdana"/>
          <w:color w:val="000000"/>
          <w:sz w:val="20"/>
          <w:szCs w:val="20"/>
          <w:u w:val="single"/>
        </w:rPr>
        <w:t>www.portaldecompraspublicas.com.br</w:t>
      </w:r>
      <w:bookmarkEnd w:id="23"/>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2">
        <w:r>
          <w:rPr>
            <w:rStyle w:val="ListLabel186"/>
            <w:rFonts w:ascii="Verdana" w:hAnsi="Verdana"/>
            <w:color w:val="000080"/>
            <w:sz w:val="20"/>
            <w:szCs w:val="20"/>
            <w:u w:val="single"/>
          </w:rPr>
          <w:t>licitacao@</w:t>
        </w:r>
      </w:hyperlink>
      <w:hyperlink r:id="rId13">
        <w:r>
          <w:rPr>
            <w:rStyle w:val="ListLabel186"/>
            <w:rFonts w:ascii="Verdana" w:hAnsi="Verdana"/>
            <w:color w:val="000080"/>
            <w:sz w:val="20"/>
            <w:szCs w:val="20"/>
            <w:u w:val="single"/>
          </w:rPr>
          <w:t>saogabriel</w:t>
        </w:r>
      </w:hyperlink>
      <w:hyperlink r:id="rId14">
        <w:r>
          <w:rPr>
            <w:rStyle w:val="ListLabel186"/>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before="57" w:after="57"/>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before="57" w:after="57"/>
        <w:jc w:val="both"/>
        <w:rPr>
          <w:rFonts w:ascii="Verdana" w:hAnsi="Verdana"/>
          <w:sz w:val="20"/>
          <w:szCs w:val="20"/>
        </w:rPr>
      </w:pPr>
      <w:r>
        <w:rPr>
          <w:rFonts w:cs="Arial" w:ascii="Verdana" w:hAnsi="Verdana"/>
          <w:color w:val="000000"/>
          <w:sz w:val="20"/>
          <w:szCs w:val="20"/>
        </w:rPr>
        <w:t>22.12.1 ANEXO I – Modelo Orientativo de Proposta;</w:t>
      </w:r>
    </w:p>
    <w:p>
      <w:pPr>
        <w:pStyle w:val="Normal"/>
        <w:spacing w:before="57" w:after="57"/>
        <w:jc w:val="both"/>
        <w:rPr>
          <w:rFonts w:ascii="Verdana" w:hAnsi="Verdana"/>
          <w:sz w:val="20"/>
          <w:szCs w:val="20"/>
        </w:rPr>
      </w:pPr>
      <w:r>
        <w:rPr>
          <w:rFonts w:cs="Arial" w:ascii="Verdana" w:hAnsi="Verdana"/>
          <w:color w:val="000000"/>
          <w:sz w:val="20"/>
          <w:szCs w:val="20"/>
        </w:rPr>
        <w:t>22.12.2 ANEXO II – Termo de Referência;</w:t>
      </w:r>
    </w:p>
    <w:p>
      <w:pPr>
        <w:pStyle w:val="Normal"/>
        <w:spacing w:before="57" w:after="57"/>
        <w:jc w:val="both"/>
        <w:rPr>
          <w:rFonts w:ascii="Verdana" w:hAnsi="Verdana"/>
          <w:sz w:val="20"/>
          <w:szCs w:val="20"/>
        </w:rPr>
      </w:pPr>
      <w:r>
        <w:rPr>
          <w:rFonts w:cs="Arial" w:ascii="Verdana" w:hAnsi="Verdana"/>
          <w:color w:val="000000"/>
          <w:sz w:val="20"/>
          <w:szCs w:val="20"/>
        </w:rPr>
        <w:t>22.12.2.1 ANEXO II-1 – Estudo Técnico Preliminar;</w:t>
      </w:r>
    </w:p>
    <w:p>
      <w:pPr>
        <w:pStyle w:val="Normal"/>
        <w:tabs>
          <w:tab w:val="clear" w:pos="708"/>
          <w:tab w:val="left" w:pos="800" w:leader="none"/>
        </w:tabs>
        <w:snapToGrid w:val="false"/>
        <w:spacing w:before="57" w:after="57"/>
        <w:jc w:val="both"/>
        <w:rPr>
          <w:rFonts w:ascii="Verdana" w:hAnsi="Verdana"/>
          <w:sz w:val="20"/>
          <w:szCs w:val="20"/>
        </w:rPr>
      </w:pPr>
      <w:r>
        <w:rPr>
          <w:rFonts w:ascii="Verdana" w:hAnsi="Verdana"/>
          <w:sz w:val="20"/>
          <w:szCs w:val="20"/>
        </w:rPr>
      </w:r>
    </w:p>
    <w:p>
      <w:pPr>
        <w:pStyle w:val="Normal"/>
        <w:keepNext w:val="true"/>
        <w:keepLines/>
        <w:numPr>
          <w:ilvl w:val="0"/>
          <w:numId w:val="0"/>
        </w:numPr>
        <w:tabs>
          <w:tab w:val="clear" w:pos="708"/>
          <w:tab w:val="left" w:pos="567" w:leader="none"/>
        </w:tabs>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ind w:hanging="0" w:left="360"/>
        <w:jc w:val="center"/>
        <w:outlineLvl w:val="0"/>
        <w:rPr>
          <w:rFonts w:ascii="Verdana" w:hAnsi="Verdana"/>
          <w:sz w:val="20"/>
          <w:szCs w:val="20"/>
        </w:rPr>
      </w:pPr>
      <w:r>
        <w:rPr>
          <w:rFonts w:cs="Arial" w:ascii="Verdana" w:hAnsi="Verdana"/>
          <w:color w:val="000000"/>
          <w:sz w:val="20"/>
          <w:szCs w:val="20"/>
        </w:rPr>
        <w:t>São Gabriel da Palha/ES, 03 de setembro de 2025.</w:t>
      </w:r>
    </w:p>
    <w:p>
      <w:pPr>
        <w:pStyle w:val="Normal"/>
        <w:tabs>
          <w:tab w:val="clear" w:pos="708"/>
          <w:tab w:val="left" w:pos="1440" w:leader="none"/>
        </w:tabs>
        <w:snapToGrid w:val="false"/>
        <w:spacing w:before="120" w:after="120"/>
        <w:ind w:hanging="0"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before="120" w:after="120"/>
        <w:ind w:hanging="0" w:left="1638"/>
        <w:jc w:val="both"/>
        <w:rPr>
          <w:rFonts w:ascii="Verdana" w:hAnsi="Verdana" w:cs="Arial"/>
          <w:sz w:val="20"/>
          <w:szCs w:val="20"/>
        </w:rPr>
      </w:pPr>
      <w:r>
        <w:rPr>
          <w:rFonts w:cs="Arial" w:ascii="Verdana" w:hAnsi="Verdana"/>
          <w:sz w:val="20"/>
          <w:szCs w:val="20"/>
        </w:rPr>
      </w:r>
    </w:p>
    <w:p>
      <w:pPr>
        <w:pStyle w:val="LO-normal"/>
        <w:spacing w:lineRule="auto" w:line="240" w:before="0" w:after="0"/>
        <w:jc w:val="center"/>
        <w:rPr>
          <w:rFonts w:ascii="Verdana" w:hAnsi="Verdana"/>
          <w:sz w:val="20"/>
          <w:szCs w:val="20"/>
        </w:rPr>
      </w:pPr>
      <w:r>
        <w:rPr>
          <w:rFonts w:eastAsia="Arial" w:cs="Arial" w:ascii="Verdana" w:hAnsi="Verdana"/>
          <w:b/>
          <w:bCs/>
          <w:color w:val="000000"/>
          <w:sz w:val="20"/>
          <w:szCs w:val="20"/>
        </w:rPr>
        <w:t>Jane Lislie Martinelli dos Santos</w:t>
      </w:r>
    </w:p>
    <w:p>
      <w:pPr>
        <w:pStyle w:val="Normal"/>
        <w:keepNext w:val="true"/>
        <w:keepLines/>
        <w:numPr>
          <w:ilvl w:val="0"/>
          <w:numId w:val="0"/>
        </w:numPr>
        <w:tabs>
          <w:tab w:val="clear" w:pos="708"/>
          <w:tab w:val="left" w:pos="567" w:leader="none"/>
        </w:tabs>
        <w:ind w:hanging="0" w:left="0" w:right="113"/>
        <w:jc w:val="center"/>
        <w:outlineLvl w:val="0"/>
        <w:rPr>
          <w:rFonts w:ascii="Verdana" w:hAnsi="Verdana"/>
          <w:sz w:val="20"/>
          <w:szCs w:val="20"/>
        </w:rPr>
      </w:pPr>
      <w:r>
        <w:rPr>
          <w:rFonts w:eastAsia="" w:cs="Arial" w:ascii="Verdana" w:hAnsi="Verdana" w:eastAsiaTheme="majorEastAsia"/>
          <w:b/>
          <w:bCs/>
          <w:color w:val="000000"/>
          <w:sz w:val="20"/>
          <w:szCs w:val="20"/>
        </w:rPr>
        <w:t>Secretária Municipal de Educação</w:t>
      </w:r>
    </w:p>
    <w:sectPr>
      <w:headerReference w:type="even" r:id="rId15"/>
      <w:headerReference w:type="default" r:id="rId16"/>
      <w:headerReference w:type="first" r:id="rId17"/>
      <w:footerReference w:type="even" r:id="rId18"/>
      <w:footerReference w:type="default" r:id="rId19"/>
      <w:footerReference w:type="first" r:id="rId20"/>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qFormat/>
    <w:pPr>
      <w:spacing w:lineRule="auto" w:line="276" w:before="0" w:after="200"/>
      <w:ind w:hanging="0" w:left="720"/>
      <w:contextualSpacing/>
    </w:pPr>
    <w:rPr>
      <w:rFonts w:ascii="Calibri" w:hAnsi="Calibri" w:eastAsia="Calibri" w:cs="Calibri"/>
      <w:sz w:val="22"/>
      <w:szCs w:val="22"/>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paragraph" w:styleId="normal6">
    <w:name w:val="normal6"/>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paragraph" w:styleId="normal1">
    <w:name w:val="normal1"/>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LO-normal">
    <w:name w:val="LO-normal"/>
    <w:qFormat/>
    <w:pPr>
      <w:widowControl/>
      <w:suppressAutoHyphens w:val="true"/>
      <w:bidi w:val="0"/>
      <w:spacing w:before="0" w:after="0"/>
      <w:jc w:val="left"/>
    </w:pPr>
    <w:rPr>
      <w:rFonts w:ascii="Times New Roman" w:hAnsi="Times New Roman" w:eastAsia="Segoe UI" w:cs="Times New Roman"/>
      <w:color w:val="auto"/>
      <w:kern w:val="0"/>
      <w:sz w:val="20"/>
      <w:szCs w:val="20"/>
      <w:lang w:val="pt-BR" w:eastAsia="en-US" w:bidi="ar-SA"/>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https://www.gov.br/compras/pt-br/acesso-a-informacao/legislacao/instrucoes-normativas/instrucao-normativa-seges-me-no-73-de-30-de-setembro-de-2022"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yperlink" Target="mailto:licitacao@saogabriel.es.gov.br"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header" Target="header3.xml"/><Relationship Id="rId18" Type="http://schemas.openxmlformats.org/officeDocument/2006/relationships/footer" Target="footer1.xml"/><Relationship Id="rId19" Type="http://schemas.openxmlformats.org/officeDocument/2006/relationships/footer" Target="footer2.xml"/><Relationship Id="rId20" Type="http://schemas.openxmlformats.org/officeDocument/2006/relationships/footer" Target="footer3.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3607</TotalTime>
  <Application>LibreOffice/24.2.6.2$Windows_X86_64 LibreOffice_project/ef66aa7e36a1bb8e65bfbc63aba53045a14d0871</Application>
  <AppVersion>15.0000</AppVersion>
  <Pages>18</Pages>
  <Words>8715</Words>
  <Characters>49248</Characters>
  <CharactersWithSpaces>57575</CharactersWithSpaces>
  <Paragraphs>352</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2025-09-03T13:08:15Z</cp:lastPrinted>
  <dcterms:modified xsi:type="dcterms:W3CDTF">2025-09-10T16:26:31Z</dcterms:modified>
  <cp:revision>179</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